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27D3" w14:textId="77777777" w:rsidR="002B5869" w:rsidRPr="00BA7E6A" w:rsidRDefault="00CA578C" w:rsidP="00EC44BA">
      <w:pPr>
        <w:spacing w:after="0" w:line="240" w:lineRule="auto"/>
        <w:contextualSpacing/>
        <w:jc w:val="center"/>
        <w:rPr>
          <w:rFonts w:asciiTheme="majorHAnsi" w:eastAsia="Times New Roman" w:hAnsiTheme="majorHAnsi" w:cstheme="majorHAnsi"/>
          <w:spacing w:val="-10"/>
          <w:kern w:val="28"/>
          <w:sz w:val="44"/>
          <w:szCs w:val="44"/>
          <w:lang w:val="en-GB"/>
        </w:rPr>
      </w:pPr>
      <w:r w:rsidRPr="00BA7E6A">
        <w:rPr>
          <w:rFonts w:asciiTheme="majorHAnsi" w:eastAsia="Times New Roman" w:hAnsiTheme="majorHAnsi" w:cstheme="majorHAnsi"/>
          <w:spacing w:val="-10"/>
          <w:kern w:val="28"/>
          <w:sz w:val="44"/>
          <w:szCs w:val="44"/>
          <w:lang w:val="en-GB"/>
        </w:rPr>
        <w:t>Healthy Homes Standards</w:t>
      </w:r>
    </w:p>
    <w:p w14:paraId="7FD09B9F" w14:textId="77777777" w:rsidR="0060374D" w:rsidRPr="00BA7E6A" w:rsidRDefault="00CA578C" w:rsidP="002B5869">
      <w:pPr>
        <w:spacing w:after="0" w:line="240" w:lineRule="auto"/>
        <w:contextualSpacing/>
        <w:jc w:val="center"/>
        <w:rPr>
          <w:rFonts w:asciiTheme="majorHAnsi" w:eastAsia="Times New Roman" w:hAnsiTheme="majorHAnsi" w:cstheme="majorHAnsi"/>
          <w:spacing w:val="-10"/>
          <w:kern w:val="28"/>
          <w:sz w:val="44"/>
          <w:szCs w:val="44"/>
          <w:lang w:val="en-GB"/>
        </w:rPr>
      </w:pPr>
      <w:r w:rsidRPr="00BA7E6A">
        <w:rPr>
          <w:rFonts w:asciiTheme="majorHAnsi" w:eastAsia="Times New Roman" w:hAnsiTheme="majorHAnsi" w:cstheme="majorHAnsi"/>
          <w:spacing w:val="-10"/>
          <w:kern w:val="28"/>
          <w:sz w:val="44"/>
          <w:szCs w:val="44"/>
          <w:lang w:val="en-GB"/>
        </w:rPr>
        <w:t>Compliance Certificate</w:t>
      </w:r>
    </w:p>
    <w:p w14:paraId="00EF1807" w14:textId="77777777" w:rsidR="0060374D" w:rsidRDefault="002C0FBF" w:rsidP="0060374D">
      <w:pPr>
        <w:spacing w:after="0" w:line="240" w:lineRule="auto"/>
        <w:jc w:val="both"/>
        <w:rPr>
          <w:rFonts w:asciiTheme="majorHAnsi" w:eastAsia="Times New Roman" w:hAnsiTheme="majorHAnsi" w:cstheme="majorHAnsi"/>
          <w:sz w:val="24"/>
          <w:szCs w:val="24"/>
          <w:lang w:val="en-GB"/>
        </w:rPr>
      </w:pPr>
    </w:p>
    <w:p w14:paraId="6F79825B" w14:textId="77777777" w:rsidR="00EC44BA" w:rsidRDefault="00EC44BA" w:rsidP="0060374D">
      <w:pPr>
        <w:spacing w:after="0" w:line="240" w:lineRule="auto"/>
        <w:jc w:val="both"/>
        <w:rPr>
          <w:rFonts w:asciiTheme="majorHAnsi" w:eastAsia="Times New Roman" w:hAnsiTheme="majorHAnsi" w:cstheme="majorHAnsi"/>
          <w:sz w:val="24"/>
          <w:szCs w:val="24"/>
          <w:lang w:val="en-GB"/>
        </w:rPr>
      </w:pPr>
    </w:p>
    <w:p w14:paraId="238AD7A5" w14:textId="77777777" w:rsidR="00DE0E8A" w:rsidRDefault="00DE0E8A" w:rsidP="0060374D">
      <w:pPr>
        <w:spacing w:after="0" w:line="240" w:lineRule="auto"/>
        <w:jc w:val="both"/>
        <w:rPr>
          <w:rFonts w:asciiTheme="majorHAnsi" w:eastAsia="Times New Roman" w:hAnsiTheme="majorHAnsi" w:cstheme="majorHAnsi"/>
          <w:sz w:val="24"/>
          <w:szCs w:val="24"/>
          <w:lang w:val="en-GB"/>
        </w:rPr>
      </w:pPr>
    </w:p>
    <w:p w14:paraId="207F9A41" w14:textId="77777777" w:rsidR="00DE0E8A" w:rsidRPr="002B5869" w:rsidRDefault="00DE0E8A" w:rsidP="0060374D">
      <w:pPr>
        <w:spacing w:after="0" w:line="240" w:lineRule="auto"/>
        <w:jc w:val="both"/>
        <w:rPr>
          <w:rFonts w:asciiTheme="majorHAnsi" w:eastAsia="Times New Roman" w:hAnsiTheme="majorHAnsi" w:cstheme="majorHAnsi"/>
          <w:sz w:val="24"/>
          <w:szCs w:val="24"/>
          <w:lang w:val="en-GB"/>
        </w:rPr>
      </w:pPr>
    </w:p>
    <w:p w14:paraId="5A4D63C3" w14:textId="77777777" w:rsidR="003B227F" w:rsidRDefault="00CA578C" w:rsidP="00DE0E8A">
      <w:pPr>
        <w:rPr>
          <w:rFonts w:asciiTheme="majorHAnsi" w:hAnsiTheme="majorHAnsi" w:cstheme="majorHAnsi"/>
          <w:sz w:val="20"/>
          <w:szCs w:val="20"/>
          <w:lang w:val="en-GB"/>
        </w:rPr>
      </w:pPr>
      <w:r w:rsidRPr="002B5869">
        <w:rPr>
          <w:rFonts w:asciiTheme="majorHAnsi" w:hAnsiTheme="majorHAnsi" w:cstheme="majorHAnsi"/>
          <w:sz w:val="20"/>
          <w:szCs w:val="20"/>
          <w:lang w:val="en-GB"/>
        </w:rPr>
        <w:t>This certifies that th</w:t>
      </w:r>
      <w:r w:rsidR="009E04A8">
        <w:rPr>
          <w:rFonts w:asciiTheme="majorHAnsi" w:hAnsiTheme="majorHAnsi" w:cstheme="majorHAnsi"/>
          <w:sz w:val="20"/>
          <w:szCs w:val="20"/>
          <w:lang w:val="en-GB"/>
        </w:rPr>
        <w:t>e</w:t>
      </w:r>
      <w:r w:rsidR="00DE0E8A">
        <w:rPr>
          <w:rFonts w:asciiTheme="majorHAnsi" w:hAnsiTheme="majorHAnsi" w:cstheme="majorHAnsi"/>
          <w:sz w:val="20"/>
          <w:szCs w:val="20"/>
          <w:lang w:val="en-GB"/>
        </w:rPr>
        <w:t xml:space="preserve"> property at the below address do</w:t>
      </w:r>
      <w:r w:rsidR="004064AC">
        <w:rPr>
          <w:rFonts w:asciiTheme="majorHAnsi" w:hAnsiTheme="majorHAnsi" w:cstheme="majorHAnsi"/>
          <w:sz w:val="20"/>
          <w:szCs w:val="20"/>
          <w:lang w:val="en-GB"/>
        </w:rPr>
        <w:t>es</w:t>
      </w:r>
      <w:r w:rsidR="0070121F">
        <w:rPr>
          <w:rFonts w:asciiTheme="majorHAnsi" w:hAnsiTheme="majorHAnsi" w:cstheme="majorHAnsi"/>
          <w:sz w:val="20"/>
          <w:szCs w:val="20"/>
          <w:lang w:val="en-GB"/>
        </w:rPr>
        <w:t>/ does</w:t>
      </w:r>
      <w:r w:rsidR="00DE0E8A">
        <w:rPr>
          <w:rFonts w:asciiTheme="majorHAnsi" w:hAnsiTheme="majorHAnsi" w:cstheme="majorHAnsi"/>
          <w:sz w:val="20"/>
          <w:szCs w:val="20"/>
          <w:lang w:val="en-GB"/>
        </w:rPr>
        <w:t xml:space="preserve"> not</w:t>
      </w:r>
      <w:r w:rsidR="00EC44BA">
        <w:rPr>
          <w:rFonts w:asciiTheme="majorHAnsi" w:hAnsiTheme="majorHAnsi" w:cstheme="majorHAnsi"/>
          <w:sz w:val="20"/>
          <w:szCs w:val="20"/>
          <w:lang w:val="en-GB"/>
        </w:rPr>
        <w:t xml:space="preserve"> </w:t>
      </w:r>
      <w:r w:rsidR="004064AC">
        <w:rPr>
          <w:rFonts w:asciiTheme="majorHAnsi" w:hAnsiTheme="majorHAnsi" w:cstheme="majorHAnsi"/>
          <w:sz w:val="20"/>
          <w:szCs w:val="20"/>
          <w:lang w:val="en-GB"/>
        </w:rPr>
        <w:t>comply</w:t>
      </w:r>
      <w:r w:rsidR="00EC44BA">
        <w:rPr>
          <w:rFonts w:asciiTheme="majorHAnsi" w:hAnsiTheme="majorHAnsi" w:cstheme="majorHAnsi"/>
          <w:sz w:val="20"/>
          <w:szCs w:val="20"/>
          <w:lang w:val="en-GB"/>
        </w:rPr>
        <w:t xml:space="preserve"> </w:t>
      </w:r>
      <w:r w:rsidRPr="002B5869">
        <w:rPr>
          <w:rFonts w:asciiTheme="majorHAnsi" w:hAnsiTheme="majorHAnsi" w:cstheme="majorHAnsi"/>
          <w:sz w:val="20"/>
          <w:szCs w:val="20"/>
          <w:lang w:val="en-GB"/>
        </w:rPr>
        <w:t>w</w:t>
      </w:r>
      <w:r w:rsidR="009E04A8">
        <w:rPr>
          <w:rFonts w:asciiTheme="majorHAnsi" w:hAnsiTheme="majorHAnsi" w:cstheme="majorHAnsi"/>
          <w:sz w:val="20"/>
          <w:szCs w:val="20"/>
          <w:lang w:val="en-GB"/>
        </w:rPr>
        <w:t>ith the Healthy Homes Standards (HHS) and that the landlord(s) will in due course certify the property and update this certificate by 1 July 2021 in accordance with their obligations under the HHS.</w:t>
      </w:r>
    </w:p>
    <w:p w14:paraId="65F919DD" w14:textId="77777777" w:rsidR="00DE0E8A" w:rsidRPr="002B5869" w:rsidRDefault="00DE0E8A" w:rsidP="003B227F">
      <w:pPr>
        <w:rPr>
          <w:rFonts w:asciiTheme="majorHAnsi" w:hAnsiTheme="majorHAnsi" w:cstheme="majorHAns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841AC" w:rsidRPr="002B5869" w14:paraId="07FFEF76" w14:textId="77777777" w:rsidTr="0022523A">
        <w:tc>
          <w:tcPr>
            <w:tcW w:w="4508" w:type="dxa"/>
          </w:tcPr>
          <w:p w14:paraId="20620DF3" w14:textId="77777777" w:rsidR="0022523A" w:rsidRDefault="00EC44BA" w:rsidP="0022523A">
            <w:pPr>
              <w:rPr>
                <w:rFonts w:asciiTheme="majorHAnsi" w:hAnsiTheme="majorHAnsi" w:cstheme="majorHAnsi"/>
                <w:b/>
                <w:color w:val="000000"/>
                <w:sz w:val="20"/>
                <w:szCs w:val="20"/>
                <w:shd w:val="clear" w:color="auto" w:fill="FFFFFF"/>
              </w:rPr>
            </w:pPr>
            <w:r>
              <w:rPr>
                <w:rFonts w:asciiTheme="majorHAnsi" w:hAnsiTheme="majorHAnsi" w:cstheme="majorHAnsi"/>
                <w:b/>
                <w:color w:val="000000"/>
                <w:sz w:val="20"/>
                <w:szCs w:val="20"/>
                <w:shd w:val="clear" w:color="auto" w:fill="FFFFFF"/>
              </w:rPr>
              <w:t>Complete address of the property</w:t>
            </w:r>
          </w:p>
          <w:p w14:paraId="6CBDF4DF" w14:textId="77777777" w:rsidR="00DE0E8A" w:rsidRPr="00DE0E8A" w:rsidRDefault="00DE0E8A" w:rsidP="009E04A8">
            <w:pPr>
              <w:pStyle w:val="ListParagraph"/>
              <w:rPr>
                <w:rFonts w:asciiTheme="majorHAnsi" w:hAnsiTheme="majorHAnsi" w:cstheme="majorHAnsi"/>
                <w:sz w:val="20"/>
                <w:szCs w:val="20"/>
                <w:lang w:val="en-GB"/>
              </w:rPr>
            </w:pPr>
          </w:p>
        </w:tc>
        <w:tc>
          <w:tcPr>
            <w:tcW w:w="4508" w:type="dxa"/>
          </w:tcPr>
          <w:p w14:paraId="4E6807CC" w14:textId="77777777" w:rsidR="0022523A" w:rsidRPr="002B5869" w:rsidRDefault="009E04A8" w:rsidP="0022523A">
            <w:pPr>
              <w:jc w:val="right"/>
              <w:rPr>
                <w:rFonts w:asciiTheme="majorHAnsi" w:hAnsiTheme="majorHAnsi" w:cstheme="majorHAnsi"/>
                <w:b/>
                <w:sz w:val="20"/>
                <w:szCs w:val="20"/>
              </w:rPr>
            </w:pPr>
            <w:r>
              <w:rPr>
                <w:rFonts w:asciiTheme="majorHAnsi" w:eastAsia="Calibri" w:hAnsiTheme="majorHAnsi" w:cstheme="majorHAnsi"/>
                <w:b/>
                <w:color w:val="000000"/>
                <w:sz w:val="20"/>
                <w:szCs w:val="20"/>
                <w:shd w:val="clear" w:color="auto" w:fill="FFFFFF"/>
              </w:rPr>
              <w:t>Date</w:t>
            </w:r>
          </w:p>
        </w:tc>
      </w:tr>
    </w:tbl>
    <w:p w14:paraId="009226E3" w14:textId="77777777" w:rsidR="003B227F" w:rsidRDefault="002C0FBF" w:rsidP="0022523A">
      <w:pPr>
        <w:ind w:right="77"/>
        <w:rPr>
          <w:rFonts w:asciiTheme="majorHAnsi" w:hAnsiTheme="majorHAnsi" w:cstheme="majorHAnsi"/>
          <w:b/>
          <w:color w:val="000000"/>
          <w:sz w:val="20"/>
          <w:szCs w:val="20"/>
          <w:shd w:val="clear" w:color="auto" w:fill="FFFFFF"/>
        </w:rPr>
      </w:pPr>
    </w:p>
    <w:p w14:paraId="01EA7B9B" w14:textId="77777777" w:rsidR="0070121F" w:rsidRPr="002B5869" w:rsidRDefault="0070121F" w:rsidP="0022523A">
      <w:pPr>
        <w:ind w:right="77"/>
        <w:rPr>
          <w:rFonts w:asciiTheme="majorHAnsi" w:hAnsiTheme="majorHAnsi" w:cstheme="majorHAnsi"/>
          <w:b/>
          <w:color w:val="000000"/>
          <w:sz w:val="20"/>
          <w:szCs w:val="20"/>
          <w:shd w:val="clear" w:color="auto" w:fill="FFFFFF"/>
        </w:rPr>
      </w:pPr>
    </w:p>
    <w:tbl>
      <w:tblPr>
        <w:tblStyle w:val="TableGrid"/>
        <w:tblW w:w="0" w:type="auto"/>
        <w:tblLook w:val="04A0" w:firstRow="1" w:lastRow="0" w:firstColumn="1" w:lastColumn="0" w:noHBand="0" w:noVBand="1"/>
      </w:tblPr>
      <w:tblGrid>
        <w:gridCol w:w="3114"/>
        <w:gridCol w:w="5902"/>
      </w:tblGrid>
      <w:tr w:rsidR="009841AC" w:rsidRPr="002B5869" w14:paraId="049F0A7A" w14:textId="77777777" w:rsidTr="003B227F">
        <w:trPr>
          <w:trHeight w:val="344"/>
        </w:trPr>
        <w:tc>
          <w:tcPr>
            <w:tcW w:w="3114" w:type="dxa"/>
            <w:tcBorders>
              <w:bottom w:val="nil"/>
            </w:tcBorders>
            <w:shd w:val="clear" w:color="auto" w:fill="000000"/>
          </w:tcPr>
          <w:p w14:paraId="1B949213" w14:textId="77777777" w:rsidR="003B227F" w:rsidRPr="002B5869" w:rsidRDefault="002C0FBF" w:rsidP="003B227F">
            <w:pPr>
              <w:rPr>
                <w:rFonts w:asciiTheme="majorHAnsi" w:eastAsia="Times New Roman" w:hAnsiTheme="majorHAnsi" w:cstheme="majorHAnsi"/>
                <w:color w:val="FFFFFF"/>
                <w:sz w:val="20"/>
                <w:szCs w:val="20"/>
              </w:rPr>
            </w:pPr>
          </w:p>
        </w:tc>
        <w:tc>
          <w:tcPr>
            <w:tcW w:w="5902" w:type="dxa"/>
            <w:tcBorders>
              <w:bottom w:val="nil"/>
            </w:tcBorders>
            <w:shd w:val="clear" w:color="auto" w:fill="000000"/>
          </w:tcPr>
          <w:p w14:paraId="2DB49AB0" w14:textId="77777777" w:rsidR="003B227F" w:rsidRPr="002B5869" w:rsidRDefault="00CA578C" w:rsidP="003B227F">
            <w:pPr>
              <w:jc w:val="center"/>
              <w:rPr>
                <w:rFonts w:asciiTheme="majorHAnsi" w:eastAsia="Times New Roman" w:hAnsiTheme="majorHAnsi" w:cstheme="majorHAnsi"/>
                <w:color w:val="FFFFFF"/>
                <w:sz w:val="20"/>
                <w:szCs w:val="20"/>
              </w:rPr>
            </w:pPr>
            <w:r w:rsidRPr="002B5869">
              <w:rPr>
                <w:rFonts w:asciiTheme="majorHAnsi" w:eastAsia="Times New Roman" w:hAnsiTheme="majorHAnsi" w:cstheme="majorHAnsi"/>
                <w:color w:val="FFFFFF"/>
                <w:sz w:val="20"/>
                <w:szCs w:val="20"/>
                <w:highlight w:val="black"/>
              </w:rPr>
              <w:t>COMPLIANT /  NOT COMPLIANT</w:t>
            </w:r>
          </w:p>
        </w:tc>
      </w:tr>
      <w:tr w:rsidR="009841AC" w:rsidRPr="002B5869" w14:paraId="36804C65" w14:textId="77777777" w:rsidTr="00CB7A6E">
        <w:trPr>
          <w:trHeight w:val="355"/>
        </w:trPr>
        <w:tc>
          <w:tcPr>
            <w:tcW w:w="3114" w:type="dxa"/>
            <w:tcBorders>
              <w:top w:val="nil"/>
              <w:left w:val="nil"/>
              <w:bottom w:val="nil"/>
              <w:right w:val="nil"/>
            </w:tcBorders>
          </w:tcPr>
          <w:p w14:paraId="64618C73" w14:textId="77777777" w:rsidR="003B227F" w:rsidRPr="002B5869" w:rsidRDefault="002C0FBF" w:rsidP="003B227F">
            <w:pPr>
              <w:rPr>
                <w:rFonts w:asciiTheme="majorHAnsi" w:eastAsia="Times New Roman" w:hAnsiTheme="majorHAnsi" w:cstheme="majorHAnsi"/>
                <w:sz w:val="20"/>
                <w:szCs w:val="20"/>
              </w:rPr>
            </w:pPr>
          </w:p>
        </w:tc>
        <w:tc>
          <w:tcPr>
            <w:tcW w:w="5902" w:type="dxa"/>
            <w:tcBorders>
              <w:top w:val="nil"/>
              <w:left w:val="nil"/>
              <w:bottom w:val="nil"/>
              <w:right w:val="nil"/>
            </w:tcBorders>
          </w:tcPr>
          <w:p w14:paraId="0D55FAB9" w14:textId="77777777" w:rsidR="003B227F" w:rsidRPr="002B5869" w:rsidRDefault="002C0FBF" w:rsidP="003B227F">
            <w:pPr>
              <w:rPr>
                <w:rFonts w:asciiTheme="majorHAnsi" w:eastAsia="Times New Roman" w:hAnsiTheme="majorHAnsi" w:cstheme="majorHAnsi"/>
                <w:sz w:val="20"/>
                <w:szCs w:val="20"/>
              </w:rPr>
            </w:pPr>
          </w:p>
        </w:tc>
      </w:tr>
      <w:tr w:rsidR="009841AC" w:rsidRPr="002B5869" w14:paraId="51718220" w14:textId="77777777" w:rsidTr="00EC44BA">
        <w:trPr>
          <w:trHeight w:val="355"/>
        </w:trPr>
        <w:tc>
          <w:tcPr>
            <w:tcW w:w="3114" w:type="dxa"/>
            <w:tcBorders>
              <w:top w:val="nil"/>
              <w:left w:val="nil"/>
              <w:bottom w:val="nil"/>
              <w:right w:val="nil"/>
            </w:tcBorders>
            <w:shd w:val="clear" w:color="auto" w:fill="DEEAF6" w:themeFill="accent1" w:themeFillTint="33"/>
          </w:tcPr>
          <w:p w14:paraId="72FF9994" w14:textId="77777777" w:rsidR="003B227F" w:rsidRPr="002B5869" w:rsidRDefault="00CA578C" w:rsidP="003B227F">
            <w:pPr>
              <w:rPr>
                <w:rFonts w:asciiTheme="majorHAnsi" w:eastAsia="Times New Roman" w:hAnsiTheme="majorHAnsi" w:cstheme="majorHAnsi"/>
                <w:sz w:val="20"/>
                <w:szCs w:val="20"/>
              </w:rPr>
            </w:pPr>
            <w:r w:rsidRPr="002B5869">
              <w:rPr>
                <w:rFonts w:asciiTheme="majorHAnsi" w:eastAsia="Times New Roman" w:hAnsiTheme="majorHAnsi" w:cstheme="majorHAnsi"/>
                <w:sz w:val="20"/>
                <w:szCs w:val="20"/>
              </w:rPr>
              <w:t>Heating</w:t>
            </w:r>
          </w:p>
        </w:tc>
        <w:tc>
          <w:tcPr>
            <w:tcW w:w="5902" w:type="dxa"/>
            <w:tcBorders>
              <w:top w:val="nil"/>
              <w:left w:val="nil"/>
              <w:bottom w:val="nil"/>
              <w:right w:val="nil"/>
            </w:tcBorders>
            <w:shd w:val="clear" w:color="auto" w:fill="DEEAF6" w:themeFill="accent1" w:themeFillTint="33"/>
          </w:tcPr>
          <w:p w14:paraId="52B3A944" w14:textId="77777777" w:rsidR="003B227F" w:rsidRPr="002B5869" w:rsidRDefault="00B862AD" w:rsidP="003B227F">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C</w:t>
            </w:r>
            <w:r w:rsidRPr="002B5869">
              <w:rPr>
                <w:rFonts w:asciiTheme="majorHAnsi" w:eastAsia="Times New Roman" w:hAnsiTheme="majorHAnsi" w:cstheme="majorHAnsi"/>
                <w:b/>
                <w:sz w:val="20"/>
                <w:szCs w:val="20"/>
              </w:rPr>
              <w:t xml:space="preserve">ompliant </w:t>
            </w:r>
            <w:r>
              <w:rPr>
                <w:rFonts w:asciiTheme="majorHAnsi" w:eastAsia="Times New Roman" w:hAnsiTheme="majorHAnsi" w:cstheme="majorHAnsi"/>
                <w:b/>
                <w:sz w:val="20"/>
                <w:szCs w:val="20"/>
              </w:rPr>
              <w:t xml:space="preserve">/ </w:t>
            </w:r>
            <w:r w:rsidR="00CA578C" w:rsidRPr="002B5869">
              <w:rPr>
                <w:rFonts w:asciiTheme="majorHAnsi" w:eastAsia="Times New Roman" w:hAnsiTheme="majorHAnsi" w:cstheme="majorHAnsi"/>
                <w:b/>
                <w:sz w:val="20"/>
                <w:szCs w:val="20"/>
              </w:rPr>
              <w:t>Not compliant</w:t>
            </w:r>
          </w:p>
        </w:tc>
      </w:tr>
      <w:tr w:rsidR="009841AC" w:rsidRPr="002B5869" w14:paraId="3207B39A" w14:textId="77777777" w:rsidTr="00CB7A6E">
        <w:trPr>
          <w:trHeight w:val="355"/>
        </w:trPr>
        <w:tc>
          <w:tcPr>
            <w:tcW w:w="3114" w:type="dxa"/>
            <w:tcBorders>
              <w:top w:val="nil"/>
              <w:left w:val="nil"/>
              <w:bottom w:val="nil"/>
              <w:right w:val="nil"/>
            </w:tcBorders>
          </w:tcPr>
          <w:p w14:paraId="0A99D919" w14:textId="77777777" w:rsidR="003B227F" w:rsidRPr="002B5869" w:rsidRDefault="002C0FBF" w:rsidP="003B227F">
            <w:pPr>
              <w:rPr>
                <w:rFonts w:asciiTheme="majorHAnsi" w:eastAsia="Times New Roman" w:hAnsiTheme="majorHAnsi" w:cstheme="majorHAnsi"/>
                <w:sz w:val="20"/>
                <w:szCs w:val="20"/>
              </w:rPr>
            </w:pPr>
          </w:p>
        </w:tc>
        <w:tc>
          <w:tcPr>
            <w:tcW w:w="5902" w:type="dxa"/>
            <w:tcBorders>
              <w:top w:val="nil"/>
              <w:left w:val="nil"/>
              <w:bottom w:val="nil"/>
              <w:right w:val="nil"/>
            </w:tcBorders>
          </w:tcPr>
          <w:p w14:paraId="4B2A54E5" w14:textId="77777777" w:rsidR="003B227F" w:rsidRPr="002B5869" w:rsidRDefault="002C0FBF" w:rsidP="003B227F">
            <w:pPr>
              <w:rPr>
                <w:rFonts w:asciiTheme="majorHAnsi" w:eastAsia="Times New Roman" w:hAnsiTheme="majorHAnsi" w:cstheme="majorHAnsi"/>
                <w:b/>
                <w:sz w:val="20"/>
                <w:szCs w:val="20"/>
              </w:rPr>
            </w:pPr>
          </w:p>
        </w:tc>
      </w:tr>
      <w:tr w:rsidR="009841AC" w:rsidRPr="002B5869" w14:paraId="3DD90347" w14:textId="77777777" w:rsidTr="00EC44BA">
        <w:trPr>
          <w:trHeight w:val="355"/>
        </w:trPr>
        <w:tc>
          <w:tcPr>
            <w:tcW w:w="3114" w:type="dxa"/>
            <w:tcBorders>
              <w:top w:val="nil"/>
              <w:left w:val="nil"/>
              <w:bottom w:val="nil"/>
              <w:right w:val="nil"/>
            </w:tcBorders>
            <w:shd w:val="clear" w:color="auto" w:fill="DEEAF6" w:themeFill="accent1" w:themeFillTint="33"/>
          </w:tcPr>
          <w:p w14:paraId="6C81EFB0" w14:textId="77777777" w:rsidR="003B227F" w:rsidRPr="002B5869" w:rsidRDefault="00CA578C" w:rsidP="003B227F">
            <w:pPr>
              <w:rPr>
                <w:rFonts w:asciiTheme="majorHAnsi" w:eastAsia="Times New Roman" w:hAnsiTheme="majorHAnsi" w:cstheme="majorHAnsi"/>
                <w:sz w:val="20"/>
                <w:szCs w:val="20"/>
              </w:rPr>
            </w:pPr>
            <w:r w:rsidRPr="002B5869">
              <w:rPr>
                <w:rFonts w:asciiTheme="majorHAnsi" w:eastAsia="Times New Roman" w:hAnsiTheme="majorHAnsi" w:cstheme="majorHAnsi"/>
                <w:sz w:val="20"/>
                <w:szCs w:val="20"/>
              </w:rPr>
              <w:t>Insulation</w:t>
            </w:r>
          </w:p>
        </w:tc>
        <w:tc>
          <w:tcPr>
            <w:tcW w:w="5902" w:type="dxa"/>
            <w:tcBorders>
              <w:top w:val="nil"/>
              <w:left w:val="nil"/>
              <w:bottom w:val="nil"/>
              <w:right w:val="nil"/>
            </w:tcBorders>
            <w:shd w:val="clear" w:color="auto" w:fill="DEEAF6" w:themeFill="accent1" w:themeFillTint="33"/>
          </w:tcPr>
          <w:p w14:paraId="4FD51D7C" w14:textId="77777777" w:rsidR="003B227F" w:rsidRPr="002B5869" w:rsidRDefault="00B862AD" w:rsidP="003B227F">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C</w:t>
            </w:r>
            <w:r w:rsidRPr="002B5869">
              <w:rPr>
                <w:rFonts w:asciiTheme="majorHAnsi" w:eastAsia="Times New Roman" w:hAnsiTheme="majorHAnsi" w:cstheme="majorHAnsi"/>
                <w:b/>
                <w:sz w:val="20"/>
                <w:szCs w:val="20"/>
              </w:rPr>
              <w:t xml:space="preserve">ompliant </w:t>
            </w:r>
            <w:r>
              <w:rPr>
                <w:rFonts w:asciiTheme="majorHAnsi" w:eastAsia="Times New Roman" w:hAnsiTheme="majorHAnsi" w:cstheme="majorHAnsi"/>
                <w:b/>
                <w:sz w:val="20"/>
                <w:szCs w:val="20"/>
              </w:rPr>
              <w:t xml:space="preserve">/ </w:t>
            </w:r>
            <w:r w:rsidRPr="002B5869">
              <w:rPr>
                <w:rFonts w:asciiTheme="majorHAnsi" w:eastAsia="Times New Roman" w:hAnsiTheme="majorHAnsi" w:cstheme="majorHAnsi"/>
                <w:b/>
                <w:sz w:val="20"/>
                <w:szCs w:val="20"/>
              </w:rPr>
              <w:t>Not compliant</w:t>
            </w:r>
          </w:p>
        </w:tc>
      </w:tr>
      <w:tr w:rsidR="009841AC" w:rsidRPr="002B5869" w14:paraId="767C09DA" w14:textId="77777777" w:rsidTr="00CB7A6E">
        <w:trPr>
          <w:trHeight w:val="355"/>
        </w:trPr>
        <w:tc>
          <w:tcPr>
            <w:tcW w:w="3114" w:type="dxa"/>
            <w:tcBorders>
              <w:top w:val="nil"/>
              <w:left w:val="nil"/>
              <w:bottom w:val="nil"/>
              <w:right w:val="nil"/>
            </w:tcBorders>
          </w:tcPr>
          <w:p w14:paraId="495F7D7B" w14:textId="77777777" w:rsidR="003B227F" w:rsidRPr="002B5869" w:rsidRDefault="002C0FBF" w:rsidP="003B227F">
            <w:pPr>
              <w:rPr>
                <w:rFonts w:asciiTheme="majorHAnsi" w:eastAsia="Times New Roman" w:hAnsiTheme="majorHAnsi" w:cstheme="majorHAnsi"/>
                <w:sz w:val="20"/>
                <w:szCs w:val="20"/>
              </w:rPr>
            </w:pPr>
          </w:p>
        </w:tc>
        <w:tc>
          <w:tcPr>
            <w:tcW w:w="5902" w:type="dxa"/>
            <w:tcBorders>
              <w:top w:val="nil"/>
              <w:left w:val="nil"/>
              <w:bottom w:val="nil"/>
              <w:right w:val="nil"/>
            </w:tcBorders>
          </w:tcPr>
          <w:p w14:paraId="6F5DA47C" w14:textId="77777777" w:rsidR="003B227F" w:rsidRPr="002B5869" w:rsidRDefault="002C0FBF" w:rsidP="003B227F">
            <w:pPr>
              <w:rPr>
                <w:rFonts w:asciiTheme="majorHAnsi" w:eastAsia="Times New Roman" w:hAnsiTheme="majorHAnsi" w:cstheme="majorHAnsi"/>
                <w:b/>
                <w:sz w:val="20"/>
                <w:szCs w:val="20"/>
              </w:rPr>
            </w:pPr>
          </w:p>
        </w:tc>
      </w:tr>
      <w:tr w:rsidR="009841AC" w:rsidRPr="002B5869" w14:paraId="40AFA4C3" w14:textId="77777777" w:rsidTr="00EC44BA">
        <w:trPr>
          <w:trHeight w:val="355"/>
        </w:trPr>
        <w:tc>
          <w:tcPr>
            <w:tcW w:w="3114" w:type="dxa"/>
            <w:tcBorders>
              <w:top w:val="nil"/>
              <w:left w:val="nil"/>
              <w:bottom w:val="nil"/>
              <w:right w:val="nil"/>
            </w:tcBorders>
            <w:shd w:val="clear" w:color="auto" w:fill="DEEAF6" w:themeFill="accent1" w:themeFillTint="33"/>
          </w:tcPr>
          <w:p w14:paraId="0F92E41D" w14:textId="77777777" w:rsidR="003B227F" w:rsidRPr="002B5869" w:rsidRDefault="00CA578C" w:rsidP="003B227F">
            <w:pPr>
              <w:rPr>
                <w:rFonts w:asciiTheme="majorHAnsi" w:eastAsia="Times New Roman" w:hAnsiTheme="majorHAnsi" w:cstheme="majorHAnsi"/>
                <w:sz w:val="20"/>
                <w:szCs w:val="20"/>
              </w:rPr>
            </w:pPr>
            <w:r w:rsidRPr="002B5869">
              <w:rPr>
                <w:rFonts w:asciiTheme="majorHAnsi" w:eastAsia="Times New Roman" w:hAnsiTheme="majorHAnsi" w:cstheme="majorHAnsi"/>
                <w:sz w:val="20"/>
                <w:szCs w:val="20"/>
              </w:rPr>
              <w:t>Ventilation</w:t>
            </w:r>
          </w:p>
        </w:tc>
        <w:tc>
          <w:tcPr>
            <w:tcW w:w="5902" w:type="dxa"/>
            <w:tcBorders>
              <w:top w:val="nil"/>
              <w:left w:val="nil"/>
              <w:bottom w:val="nil"/>
              <w:right w:val="nil"/>
            </w:tcBorders>
            <w:shd w:val="clear" w:color="auto" w:fill="DEEAF6" w:themeFill="accent1" w:themeFillTint="33"/>
            <w:vAlign w:val="center"/>
          </w:tcPr>
          <w:p w14:paraId="1145E004" w14:textId="77777777" w:rsidR="003B227F" w:rsidRPr="002B5869" w:rsidRDefault="00B862AD" w:rsidP="003B227F">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C</w:t>
            </w:r>
            <w:r w:rsidRPr="002B5869">
              <w:rPr>
                <w:rFonts w:asciiTheme="majorHAnsi" w:eastAsia="Times New Roman" w:hAnsiTheme="majorHAnsi" w:cstheme="majorHAnsi"/>
                <w:b/>
                <w:sz w:val="20"/>
                <w:szCs w:val="20"/>
              </w:rPr>
              <w:t xml:space="preserve">ompliant </w:t>
            </w:r>
            <w:r>
              <w:rPr>
                <w:rFonts w:asciiTheme="majorHAnsi" w:eastAsia="Times New Roman" w:hAnsiTheme="majorHAnsi" w:cstheme="majorHAnsi"/>
                <w:b/>
                <w:sz w:val="20"/>
                <w:szCs w:val="20"/>
              </w:rPr>
              <w:t xml:space="preserve">/ </w:t>
            </w:r>
            <w:r w:rsidRPr="002B5869">
              <w:rPr>
                <w:rFonts w:asciiTheme="majorHAnsi" w:eastAsia="Times New Roman" w:hAnsiTheme="majorHAnsi" w:cstheme="majorHAnsi"/>
                <w:b/>
                <w:sz w:val="20"/>
                <w:szCs w:val="20"/>
              </w:rPr>
              <w:t>Not compliant</w:t>
            </w:r>
          </w:p>
        </w:tc>
      </w:tr>
      <w:tr w:rsidR="009841AC" w:rsidRPr="002B5869" w14:paraId="21616626" w14:textId="77777777" w:rsidTr="00CB7A6E">
        <w:trPr>
          <w:trHeight w:val="367"/>
        </w:trPr>
        <w:tc>
          <w:tcPr>
            <w:tcW w:w="3114" w:type="dxa"/>
            <w:tcBorders>
              <w:top w:val="nil"/>
              <w:left w:val="nil"/>
              <w:bottom w:val="nil"/>
              <w:right w:val="nil"/>
            </w:tcBorders>
            <w:shd w:val="clear" w:color="auto" w:fill="auto"/>
          </w:tcPr>
          <w:p w14:paraId="2D50A63B" w14:textId="77777777" w:rsidR="003B227F" w:rsidRPr="002B5869" w:rsidRDefault="002C0FBF" w:rsidP="003B227F">
            <w:pPr>
              <w:rPr>
                <w:rFonts w:asciiTheme="majorHAnsi" w:eastAsia="Times New Roman" w:hAnsiTheme="majorHAnsi" w:cstheme="majorHAnsi"/>
                <w:sz w:val="20"/>
                <w:szCs w:val="20"/>
              </w:rPr>
            </w:pPr>
          </w:p>
        </w:tc>
        <w:tc>
          <w:tcPr>
            <w:tcW w:w="5902" w:type="dxa"/>
            <w:tcBorders>
              <w:top w:val="nil"/>
              <w:left w:val="nil"/>
              <w:bottom w:val="nil"/>
              <w:right w:val="nil"/>
            </w:tcBorders>
            <w:shd w:val="clear" w:color="auto" w:fill="auto"/>
          </w:tcPr>
          <w:p w14:paraId="0A05F3AA" w14:textId="77777777" w:rsidR="003B227F" w:rsidRPr="002B5869" w:rsidRDefault="002C0FBF" w:rsidP="003B227F">
            <w:pPr>
              <w:rPr>
                <w:rFonts w:asciiTheme="majorHAnsi" w:eastAsia="Times New Roman" w:hAnsiTheme="majorHAnsi" w:cstheme="majorHAnsi"/>
                <w:b/>
                <w:sz w:val="20"/>
                <w:szCs w:val="20"/>
              </w:rPr>
            </w:pPr>
          </w:p>
        </w:tc>
      </w:tr>
      <w:tr w:rsidR="009841AC" w:rsidRPr="002B5869" w14:paraId="514C7AA7" w14:textId="77777777" w:rsidTr="00EC44BA">
        <w:trPr>
          <w:trHeight w:val="355"/>
        </w:trPr>
        <w:tc>
          <w:tcPr>
            <w:tcW w:w="3114" w:type="dxa"/>
            <w:tcBorders>
              <w:top w:val="nil"/>
              <w:left w:val="nil"/>
              <w:bottom w:val="nil"/>
              <w:right w:val="nil"/>
            </w:tcBorders>
            <w:shd w:val="clear" w:color="auto" w:fill="DEEAF6" w:themeFill="accent1" w:themeFillTint="33"/>
          </w:tcPr>
          <w:p w14:paraId="30988BC9" w14:textId="77777777" w:rsidR="003B227F" w:rsidRPr="002B5869" w:rsidRDefault="00CA578C" w:rsidP="003B227F">
            <w:pPr>
              <w:rPr>
                <w:rFonts w:asciiTheme="majorHAnsi" w:eastAsia="Times New Roman" w:hAnsiTheme="majorHAnsi" w:cstheme="majorHAnsi"/>
                <w:sz w:val="20"/>
                <w:szCs w:val="20"/>
              </w:rPr>
            </w:pPr>
            <w:r w:rsidRPr="002B5869">
              <w:rPr>
                <w:rFonts w:asciiTheme="majorHAnsi" w:eastAsia="Times New Roman" w:hAnsiTheme="majorHAnsi" w:cstheme="majorHAnsi"/>
                <w:sz w:val="20"/>
                <w:szCs w:val="20"/>
              </w:rPr>
              <w:t>Draught Stopping</w:t>
            </w:r>
          </w:p>
        </w:tc>
        <w:tc>
          <w:tcPr>
            <w:tcW w:w="5902" w:type="dxa"/>
            <w:tcBorders>
              <w:top w:val="nil"/>
              <w:left w:val="nil"/>
              <w:bottom w:val="nil"/>
              <w:right w:val="nil"/>
            </w:tcBorders>
            <w:shd w:val="clear" w:color="auto" w:fill="DEEAF6" w:themeFill="accent1" w:themeFillTint="33"/>
          </w:tcPr>
          <w:p w14:paraId="67375889" w14:textId="77777777" w:rsidR="003B227F" w:rsidRPr="002B5869" w:rsidRDefault="00B862AD" w:rsidP="003B227F">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C</w:t>
            </w:r>
            <w:r w:rsidRPr="002B5869">
              <w:rPr>
                <w:rFonts w:asciiTheme="majorHAnsi" w:eastAsia="Times New Roman" w:hAnsiTheme="majorHAnsi" w:cstheme="majorHAnsi"/>
                <w:b/>
                <w:sz w:val="20"/>
                <w:szCs w:val="20"/>
              </w:rPr>
              <w:t xml:space="preserve">ompliant </w:t>
            </w:r>
            <w:r>
              <w:rPr>
                <w:rFonts w:asciiTheme="majorHAnsi" w:eastAsia="Times New Roman" w:hAnsiTheme="majorHAnsi" w:cstheme="majorHAnsi"/>
                <w:b/>
                <w:sz w:val="20"/>
                <w:szCs w:val="20"/>
              </w:rPr>
              <w:t xml:space="preserve">/ </w:t>
            </w:r>
            <w:r w:rsidRPr="002B5869">
              <w:rPr>
                <w:rFonts w:asciiTheme="majorHAnsi" w:eastAsia="Times New Roman" w:hAnsiTheme="majorHAnsi" w:cstheme="majorHAnsi"/>
                <w:b/>
                <w:sz w:val="20"/>
                <w:szCs w:val="20"/>
              </w:rPr>
              <w:t>Not compliant</w:t>
            </w:r>
          </w:p>
        </w:tc>
      </w:tr>
      <w:tr w:rsidR="009841AC" w:rsidRPr="002B5869" w14:paraId="6CB70537" w14:textId="77777777" w:rsidTr="00CB7A6E">
        <w:trPr>
          <w:trHeight w:val="355"/>
        </w:trPr>
        <w:tc>
          <w:tcPr>
            <w:tcW w:w="3114" w:type="dxa"/>
            <w:tcBorders>
              <w:top w:val="nil"/>
              <w:left w:val="nil"/>
              <w:bottom w:val="nil"/>
              <w:right w:val="nil"/>
            </w:tcBorders>
            <w:shd w:val="clear" w:color="auto" w:fill="auto"/>
          </w:tcPr>
          <w:p w14:paraId="7E0A2E4F" w14:textId="77777777" w:rsidR="003B227F" w:rsidRPr="002B5869" w:rsidRDefault="002C0FBF" w:rsidP="003B227F">
            <w:pPr>
              <w:rPr>
                <w:rFonts w:asciiTheme="majorHAnsi" w:eastAsia="Times New Roman" w:hAnsiTheme="majorHAnsi" w:cstheme="majorHAnsi"/>
                <w:sz w:val="20"/>
                <w:szCs w:val="20"/>
              </w:rPr>
            </w:pPr>
          </w:p>
        </w:tc>
        <w:tc>
          <w:tcPr>
            <w:tcW w:w="5902" w:type="dxa"/>
            <w:tcBorders>
              <w:top w:val="nil"/>
              <w:left w:val="nil"/>
              <w:bottom w:val="nil"/>
              <w:right w:val="nil"/>
            </w:tcBorders>
            <w:shd w:val="clear" w:color="auto" w:fill="auto"/>
          </w:tcPr>
          <w:p w14:paraId="679F7E23" w14:textId="77777777" w:rsidR="003B227F" w:rsidRPr="002B5869" w:rsidRDefault="002C0FBF" w:rsidP="003B227F">
            <w:pPr>
              <w:rPr>
                <w:rFonts w:asciiTheme="majorHAnsi" w:eastAsia="Times New Roman" w:hAnsiTheme="majorHAnsi" w:cstheme="majorHAnsi"/>
                <w:b/>
                <w:sz w:val="20"/>
                <w:szCs w:val="20"/>
              </w:rPr>
            </w:pPr>
          </w:p>
        </w:tc>
      </w:tr>
      <w:tr w:rsidR="009841AC" w:rsidRPr="002B5869" w14:paraId="107FECBF" w14:textId="77777777" w:rsidTr="00EC44BA">
        <w:trPr>
          <w:trHeight w:val="355"/>
        </w:trPr>
        <w:tc>
          <w:tcPr>
            <w:tcW w:w="3114" w:type="dxa"/>
            <w:tcBorders>
              <w:top w:val="nil"/>
              <w:left w:val="nil"/>
              <w:bottom w:val="nil"/>
              <w:right w:val="nil"/>
            </w:tcBorders>
            <w:shd w:val="clear" w:color="auto" w:fill="DEEAF6" w:themeFill="accent1" w:themeFillTint="33"/>
          </w:tcPr>
          <w:p w14:paraId="444FFC87" w14:textId="77777777" w:rsidR="003B227F" w:rsidRPr="002B5869" w:rsidRDefault="00CA578C" w:rsidP="003B227F">
            <w:pPr>
              <w:rPr>
                <w:rFonts w:asciiTheme="majorHAnsi" w:eastAsia="Times New Roman" w:hAnsiTheme="majorHAnsi" w:cstheme="majorHAnsi"/>
                <w:sz w:val="20"/>
                <w:szCs w:val="20"/>
              </w:rPr>
            </w:pPr>
            <w:r w:rsidRPr="002B5869">
              <w:rPr>
                <w:rFonts w:asciiTheme="majorHAnsi" w:eastAsia="Times New Roman" w:hAnsiTheme="majorHAnsi" w:cstheme="majorHAnsi"/>
                <w:sz w:val="20"/>
                <w:szCs w:val="20"/>
              </w:rPr>
              <w:t>Moisture Ingress and drainage</w:t>
            </w:r>
          </w:p>
        </w:tc>
        <w:tc>
          <w:tcPr>
            <w:tcW w:w="5902" w:type="dxa"/>
            <w:tcBorders>
              <w:top w:val="nil"/>
              <w:left w:val="nil"/>
              <w:bottom w:val="nil"/>
              <w:right w:val="nil"/>
            </w:tcBorders>
            <w:shd w:val="clear" w:color="auto" w:fill="DEEAF6" w:themeFill="accent1" w:themeFillTint="33"/>
          </w:tcPr>
          <w:p w14:paraId="4B979019" w14:textId="77777777" w:rsidR="003B227F" w:rsidRPr="002B5869" w:rsidRDefault="00B862AD" w:rsidP="003B227F">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C</w:t>
            </w:r>
            <w:r w:rsidRPr="002B5869">
              <w:rPr>
                <w:rFonts w:asciiTheme="majorHAnsi" w:eastAsia="Times New Roman" w:hAnsiTheme="majorHAnsi" w:cstheme="majorHAnsi"/>
                <w:b/>
                <w:sz w:val="20"/>
                <w:szCs w:val="20"/>
              </w:rPr>
              <w:t xml:space="preserve">ompliant </w:t>
            </w:r>
            <w:r>
              <w:rPr>
                <w:rFonts w:asciiTheme="majorHAnsi" w:eastAsia="Times New Roman" w:hAnsiTheme="majorHAnsi" w:cstheme="majorHAnsi"/>
                <w:b/>
                <w:sz w:val="20"/>
                <w:szCs w:val="20"/>
              </w:rPr>
              <w:t xml:space="preserve">/ </w:t>
            </w:r>
            <w:r w:rsidRPr="002B5869">
              <w:rPr>
                <w:rFonts w:asciiTheme="majorHAnsi" w:eastAsia="Times New Roman" w:hAnsiTheme="majorHAnsi" w:cstheme="majorHAnsi"/>
                <w:b/>
                <w:sz w:val="20"/>
                <w:szCs w:val="20"/>
              </w:rPr>
              <w:t>Not compliant</w:t>
            </w:r>
          </w:p>
        </w:tc>
      </w:tr>
      <w:tr w:rsidR="009841AC" w:rsidRPr="002B5869" w14:paraId="495D228D" w14:textId="77777777" w:rsidTr="00CB7A6E">
        <w:trPr>
          <w:trHeight w:val="355"/>
        </w:trPr>
        <w:tc>
          <w:tcPr>
            <w:tcW w:w="3114" w:type="dxa"/>
            <w:tcBorders>
              <w:top w:val="nil"/>
              <w:left w:val="nil"/>
              <w:bottom w:val="nil"/>
              <w:right w:val="nil"/>
            </w:tcBorders>
            <w:shd w:val="clear" w:color="auto" w:fill="auto"/>
          </w:tcPr>
          <w:p w14:paraId="16AA10D0" w14:textId="77777777" w:rsidR="003B227F" w:rsidRPr="002B5869" w:rsidRDefault="002C0FBF" w:rsidP="003B227F">
            <w:pPr>
              <w:rPr>
                <w:rFonts w:asciiTheme="majorHAnsi" w:eastAsia="Times New Roman" w:hAnsiTheme="majorHAnsi" w:cstheme="majorHAnsi"/>
                <w:sz w:val="20"/>
                <w:szCs w:val="20"/>
              </w:rPr>
            </w:pPr>
          </w:p>
        </w:tc>
        <w:tc>
          <w:tcPr>
            <w:tcW w:w="5902" w:type="dxa"/>
            <w:tcBorders>
              <w:top w:val="nil"/>
              <w:left w:val="nil"/>
              <w:bottom w:val="nil"/>
              <w:right w:val="nil"/>
            </w:tcBorders>
            <w:shd w:val="clear" w:color="auto" w:fill="auto"/>
          </w:tcPr>
          <w:p w14:paraId="1553C299" w14:textId="77777777" w:rsidR="003B227F" w:rsidRPr="002B5869" w:rsidRDefault="002C0FBF" w:rsidP="003B227F">
            <w:pPr>
              <w:rPr>
                <w:rFonts w:asciiTheme="majorHAnsi" w:eastAsia="Times New Roman" w:hAnsiTheme="majorHAnsi" w:cstheme="majorHAnsi"/>
                <w:sz w:val="20"/>
                <w:szCs w:val="20"/>
              </w:rPr>
            </w:pPr>
          </w:p>
        </w:tc>
      </w:tr>
      <w:tr w:rsidR="009841AC" w:rsidRPr="002B5869" w14:paraId="4D4ECF2B" w14:textId="77777777" w:rsidTr="00EC44BA">
        <w:trPr>
          <w:trHeight w:val="355"/>
        </w:trPr>
        <w:tc>
          <w:tcPr>
            <w:tcW w:w="3114" w:type="dxa"/>
            <w:tcBorders>
              <w:top w:val="nil"/>
              <w:left w:val="nil"/>
              <w:bottom w:val="nil"/>
              <w:right w:val="nil"/>
            </w:tcBorders>
            <w:shd w:val="clear" w:color="auto" w:fill="DEEAF6" w:themeFill="accent1" w:themeFillTint="33"/>
          </w:tcPr>
          <w:p w14:paraId="15035331" w14:textId="77777777" w:rsidR="003B227F" w:rsidRPr="002B5869" w:rsidRDefault="00CA578C" w:rsidP="003B227F">
            <w:pPr>
              <w:rPr>
                <w:rFonts w:asciiTheme="majorHAnsi" w:eastAsia="Times New Roman" w:hAnsiTheme="majorHAnsi" w:cstheme="majorHAnsi"/>
                <w:b/>
                <w:bCs/>
                <w:sz w:val="20"/>
                <w:szCs w:val="20"/>
              </w:rPr>
            </w:pPr>
            <w:r w:rsidRPr="002B5869">
              <w:rPr>
                <w:rFonts w:asciiTheme="majorHAnsi" w:eastAsia="Times New Roman" w:hAnsiTheme="majorHAnsi" w:cstheme="majorHAnsi"/>
                <w:b/>
                <w:bCs/>
                <w:sz w:val="20"/>
                <w:szCs w:val="20"/>
              </w:rPr>
              <w:t>HHS compliance</w:t>
            </w:r>
          </w:p>
        </w:tc>
        <w:tc>
          <w:tcPr>
            <w:tcW w:w="5902" w:type="dxa"/>
            <w:tcBorders>
              <w:top w:val="nil"/>
              <w:left w:val="nil"/>
              <w:bottom w:val="nil"/>
              <w:right w:val="nil"/>
            </w:tcBorders>
            <w:shd w:val="clear" w:color="auto" w:fill="DEEAF6" w:themeFill="accent1" w:themeFillTint="33"/>
          </w:tcPr>
          <w:p w14:paraId="3B9B3BB8" w14:textId="77777777" w:rsidR="003B227F" w:rsidRPr="002B5869" w:rsidRDefault="00B862AD" w:rsidP="003B227F">
            <w:pPr>
              <w:jc w:val="center"/>
              <w:rPr>
                <w:rFonts w:asciiTheme="majorHAnsi" w:eastAsia="Times New Roman" w:hAnsiTheme="majorHAnsi" w:cstheme="majorHAnsi"/>
                <w:b/>
                <w:bCs/>
                <w:sz w:val="20"/>
                <w:szCs w:val="20"/>
              </w:rPr>
            </w:pPr>
            <w:r>
              <w:rPr>
                <w:rFonts w:asciiTheme="majorHAnsi" w:eastAsia="Times New Roman" w:hAnsiTheme="majorHAnsi" w:cstheme="majorHAnsi"/>
                <w:b/>
                <w:sz w:val="20"/>
                <w:szCs w:val="20"/>
              </w:rPr>
              <w:t>C</w:t>
            </w:r>
            <w:r w:rsidRPr="002B5869">
              <w:rPr>
                <w:rFonts w:asciiTheme="majorHAnsi" w:eastAsia="Times New Roman" w:hAnsiTheme="majorHAnsi" w:cstheme="majorHAnsi"/>
                <w:b/>
                <w:sz w:val="20"/>
                <w:szCs w:val="20"/>
              </w:rPr>
              <w:t xml:space="preserve">ompliant </w:t>
            </w:r>
            <w:r>
              <w:rPr>
                <w:rFonts w:asciiTheme="majorHAnsi" w:eastAsia="Times New Roman" w:hAnsiTheme="majorHAnsi" w:cstheme="majorHAnsi"/>
                <w:b/>
                <w:sz w:val="20"/>
                <w:szCs w:val="20"/>
              </w:rPr>
              <w:t xml:space="preserve">/ </w:t>
            </w:r>
            <w:r w:rsidRPr="002B5869">
              <w:rPr>
                <w:rFonts w:asciiTheme="majorHAnsi" w:eastAsia="Times New Roman" w:hAnsiTheme="majorHAnsi" w:cstheme="majorHAnsi"/>
                <w:b/>
                <w:sz w:val="20"/>
                <w:szCs w:val="20"/>
              </w:rPr>
              <w:t>Not compliant</w:t>
            </w:r>
          </w:p>
        </w:tc>
      </w:tr>
    </w:tbl>
    <w:p w14:paraId="636E8FD7" w14:textId="77777777" w:rsidR="0028652A" w:rsidRPr="002B5869" w:rsidRDefault="002C0FBF" w:rsidP="00AA581A">
      <w:pPr>
        <w:spacing w:after="0"/>
        <w:rPr>
          <w:rFonts w:asciiTheme="majorHAnsi" w:hAnsiTheme="majorHAnsi" w:cstheme="majorHAnsi"/>
        </w:rPr>
      </w:pPr>
    </w:p>
    <w:p w14:paraId="2391288A" w14:textId="77777777" w:rsidR="004064AC" w:rsidRDefault="004064AC" w:rsidP="00AA581A">
      <w:pPr>
        <w:rPr>
          <w:rFonts w:asciiTheme="majorHAnsi" w:eastAsia="Times New Roman" w:hAnsiTheme="majorHAnsi" w:cstheme="majorHAnsi"/>
          <w:b/>
          <w:sz w:val="20"/>
          <w:szCs w:val="20"/>
          <w:lang w:val="en-GB"/>
        </w:rPr>
      </w:pPr>
    </w:p>
    <w:p w14:paraId="12CCEC29" w14:textId="42A13EF1" w:rsidR="009E04A8" w:rsidRDefault="009E04A8" w:rsidP="00AA581A">
      <w:pPr>
        <w:rPr>
          <w:rFonts w:asciiTheme="majorHAnsi" w:eastAsia="Times New Roman" w:hAnsiTheme="majorHAnsi" w:cstheme="majorHAnsi"/>
          <w:sz w:val="20"/>
          <w:szCs w:val="20"/>
          <w:lang w:val="en-GB"/>
        </w:rPr>
      </w:pPr>
      <w:r>
        <w:rPr>
          <w:rFonts w:asciiTheme="majorHAnsi" w:eastAsia="Times New Roman" w:hAnsiTheme="majorHAnsi" w:cstheme="majorHAnsi"/>
          <w:b/>
          <w:sz w:val="20"/>
          <w:szCs w:val="20"/>
          <w:lang w:val="en-GB"/>
        </w:rPr>
        <w:t>Compliant</w:t>
      </w:r>
      <w:r w:rsidRPr="002B5869">
        <w:rPr>
          <w:rFonts w:asciiTheme="majorHAnsi" w:eastAsia="Times New Roman" w:hAnsiTheme="majorHAnsi" w:cstheme="majorHAnsi"/>
          <w:b/>
          <w:sz w:val="20"/>
          <w:szCs w:val="20"/>
          <w:lang w:val="en-GB"/>
        </w:rPr>
        <w:t>:</w:t>
      </w:r>
      <w:r w:rsidRPr="002B5869">
        <w:rPr>
          <w:rFonts w:asciiTheme="majorHAnsi" w:eastAsia="Times New Roman" w:hAnsiTheme="majorHAnsi" w:cstheme="majorHAnsi"/>
          <w:sz w:val="20"/>
          <w:szCs w:val="20"/>
          <w:lang w:val="en-GB"/>
        </w:rPr>
        <w:t xml:space="preserve"> </w:t>
      </w:r>
      <w:r>
        <w:rPr>
          <w:rFonts w:asciiTheme="majorHAnsi" w:eastAsia="Times New Roman" w:hAnsiTheme="majorHAnsi" w:cstheme="majorHAnsi"/>
          <w:sz w:val="20"/>
          <w:szCs w:val="20"/>
          <w:lang w:val="en-GB"/>
        </w:rPr>
        <w:t xml:space="preserve">Means; that the property has been assessed in time to meet the compliance date and the landlord agrees that the property </w:t>
      </w:r>
      <w:r w:rsidRPr="002B5869">
        <w:rPr>
          <w:rFonts w:asciiTheme="majorHAnsi" w:eastAsia="Times New Roman" w:hAnsiTheme="majorHAnsi" w:cstheme="majorHAnsi"/>
          <w:sz w:val="20"/>
          <w:szCs w:val="20"/>
          <w:lang w:val="en-GB"/>
        </w:rPr>
        <w:t xml:space="preserve">does meet the requirements of </w:t>
      </w:r>
      <w:r>
        <w:rPr>
          <w:rFonts w:asciiTheme="majorHAnsi" w:eastAsia="Times New Roman" w:hAnsiTheme="majorHAnsi" w:cstheme="majorHAnsi"/>
          <w:sz w:val="20"/>
          <w:szCs w:val="20"/>
          <w:lang w:val="en-GB"/>
        </w:rPr>
        <w:t xml:space="preserve">the Healthy Homes Guarantee Act, under the </w:t>
      </w:r>
      <w:r w:rsidR="00AD5E18">
        <w:rPr>
          <w:rFonts w:asciiTheme="majorHAnsi" w:eastAsia="Times New Roman" w:hAnsiTheme="majorHAnsi" w:cstheme="majorHAnsi"/>
          <w:sz w:val="20"/>
          <w:szCs w:val="20"/>
          <w:lang w:val="en-GB"/>
        </w:rPr>
        <w:t>standard</w:t>
      </w:r>
      <w:r>
        <w:rPr>
          <w:rFonts w:asciiTheme="majorHAnsi" w:eastAsia="Times New Roman" w:hAnsiTheme="majorHAnsi" w:cstheme="majorHAnsi"/>
          <w:sz w:val="20"/>
          <w:szCs w:val="20"/>
          <w:lang w:val="en-GB"/>
        </w:rPr>
        <w:t xml:space="preserve"> mentioned. </w:t>
      </w:r>
    </w:p>
    <w:p w14:paraId="5A8C92F2" w14:textId="182599BB" w:rsidR="009E04A8" w:rsidRDefault="00CA578C" w:rsidP="00AA581A">
      <w:pPr>
        <w:rPr>
          <w:rFonts w:asciiTheme="majorHAnsi" w:eastAsia="Times New Roman" w:hAnsiTheme="majorHAnsi" w:cstheme="majorHAnsi"/>
          <w:sz w:val="20"/>
          <w:szCs w:val="20"/>
          <w:lang w:val="en-GB"/>
        </w:rPr>
      </w:pPr>
      <w:r w:rsidRPr="002B5869">
        <w:rPr>
          <w:rFonts w:asciiTheme="majorHAnsi" w:eastAsia="Times New Roman" w:hAnsiTheme="majorHAnsi" w:cstheme="majorHAnsi"/>
          <w:b/>
          <w:sz w:val="20"/>
          <w:szCs w:val="20"/>
          <w:lang w:val="en-GB"/>
        </w:rPr>
        <w:t>Non-compliant:</w:t>
      </w:r>
      <w:r w:rsidRPr="002B5869">
        <w:rPr>
          <w:rFonts w:asciiTheme="majorHAnsi" w:eastAsia="Times New Roman" w:hAnsiTheme="majorHAnsi" w:cstheme="majorHAnsi"/>
          <w:sz w:val="20"/>
          <w:szCs w:val="20"/>
          <w:lang w:val="en-GB"/>
        </w:rPr>
        <w:t xml:space="preserve"> </w:t>
      </w:r>
      <w:r w:rsidR="009E04A8">
        <w:rPr>
          <w:rFonts w:asciiTheme="majorHAnsi" w:eastAsia="Times New Roman" w:hAnsiTheme="majorHAnsi" w:cstheme="majorHAnsi"/>
          <w:sz w:val="20"/>
          <w:szCs w:val="20"/>
          <w:lang w:val="en-GB"/>
        </w:rPr>
        <w:t xml:space="preserve">Means; that the property has not been assessed in time to meet the compliance date and therefore the landlord agrees that the property </w:t>
      </w:r>
      <w:r w:rsidRPr="002B5869">
        <w:rPr>
          <w:rFonts w:asciiTheme="majorHAnsi" w:eastAsia="Times New Roman" w:hAnsiTheme="majorHAnsi" w:cstheme="majorHAnsi"/>
          <w:sz w:val="20"/>
          <w:szCs w:val="20"/>
          <w:lang w:val="en-GB"/>
        </w:rPr>
        <w:t xml:space="preserve">does not meet the requirements of </w:t>
      </w:r>
      <w:r w:rsidR="009E04A8">
        <w:rPr>
          <w:rFonts w:asciiTheme="majorHAnsi" w:eastAsia="Times New Roman" w:hAnsiTheme="majorHAnsi" w:cstheme="majorHAnsi"/>
          <w:sz w:val="20"/>
          <w:szCs w:val="20"/>
          <w:lang w:val="en-GB"/>
        </w:rPr>
        <w:t xml:space="preserve">the Healthy Homes Guarantee Act, under the </w:t>
      </w:r>
      <w:r w:rsidR="00AD5E18">
        <w:rPr>
          <w:rFonts w:asciiTheme="majorHAnsi" w:eastAsia="Times New Roman" w:hAnsiTheme="majorHAnsi" w:cstheme="majorHAnsi"/>
          <w:sz w:val="20"/>
          <w:szCs w:val="20"/>
          <w:lang w:val="en-GB"/>
        </w:rPr>
        <w:t>standard</w:t>
      </w:r>
      <w:r w:rsidR="009E04A8">
        <w:rPr>
          <w:rFonts w:asciiTheme="majorHAnsi" w:eastAsia="Times New Roman" w:hAnsiTheme="majorHAnsi" w:cstheme="majorHAnsi"/>
          <w:sz w:val="20"/>
          <w:szCs w:val="20"/>
          <w:lang w:val="en-GB"/>
        </w:rPr>
        <w:t xml:space="preserve"> mentioned</w:t>
      </w:r>
      <w:r w:rsidR="00AD5E18">
        <w:rPr>
          <w:rFonts w:asciiTheme="majorHAnsi" w:eastAsia="Times New Roman" w:hAnsiTheme="majorHAnsi" w:cstheme="majorHAnsi"/>
          <w:sz w:val="20"/>
          <w:szCs w:val="20"/>
          <w:lang w:val="en-GB"/>
        </w:rPr>
        <w:t xml:space="preserve"> at this time</w:t>
      </w:r>
      <w:r w:rsidR="009E04A8">
        <w:rPr>
          <w:rFonts w:asciiTheme="majorHAnsi" w:eastAsia="Times New Roman" w:hAnsiTheme="majorHAnsi" w:cstheme="majorHAnsi"/>
          <w:sz w:val="20"/>
          <w:szCs w:val="20"/>
          <w:lang w:val="en-GB"/>
        </w:rPr>
        <w:t>. This standard will require either assessment or maintenance in order to become compliant by the prescribed date.</w:t>
      </w:r>
    </w:p>
    <w:p w14:paraId="5DEE34A4" w14:textId="77777777" w:rsidR="00DE0E8A" w:rsidRPr="002B5869" w:rsidRDefault="00CA578C" w:rsidP="00AA581A">
      <w:pPr>
        <w:rPr>
          <w:rFonts w:asciiTheme="majorHAnsi" w:eastAsia="Times New Roman" w:hAnsiTheme="majorHAnsi" w:cstheme="majorHAnsi"/>
          <w:sz w:val="20"/>
          <w:szCs w:val="20"/>
          <w:lang w:val="en-GB"/>
        </w:rPr>
      </w:pPr>
      <w:r w:rsidRPr="002B5869">
        <w:rPr>
          <w:rFonts w:asciiTheme="majorHAnsi" w:eastAsia="Times New Roman" w:hAnsiTheme="majorHAnsi" w:cstheme="majorHAnsi"/>
          <w:sz w:val="20"/>
          <w:szCs w:val="20"/>
          <w:lang w:val="en-GB"/>
        </w:rPr>
        <w:t xml:space="preserve"> </w:t>
      </w:r>
    </w:p>
    <w:p w14:paraId="1666528B" w14:textId="77777777" w:rsidR="004E157B" w:rsidRPr="002B5869" w:rsidRDefault="00CA578C" w:rsidP="00AA581A">
      <w:pPr>
        <w:rPr>
          <w:rFonts w:asciiTheme="majorHAnsi" w:eastAsia="Times New Roman" w:hAnsiTheme="majorHAnsi" w:cstheme="majorHAnsi"/>
          <w:sz w:val="20"/>
          <w:szCs w:val="20"/>
          <w:lang w:val="en-GB"/>
        </w:rPr>
      </w:pPr>
      <w:r w:rsidRPr="002B5869">
        <w:rPr>
          <w:rFonts w:asciiTheme="majorHAnsi" w:eastAsia="Times New Roman" w:hAnsiTheme="majorHAnsi" w:cstheme="majorHAnsi"/>
          <w:b/>
          <w:sz w:val="20"/>
          <w:szCs w:val="20"/>
          <w:lang w:val="en-GB"/>
        </w:rPr>
        <w:t>Please note</w:t>
      </w:r>
      <w:r w:rsidRPr="002B5869">
        <w:rPr>
          <w:rFonts w:asciiTheme="majorHAnsi" w:eastAsia="Times New Roman" w:hAnsiTheme="majorHAnsi" w:cstheme="majorHAnsi"/>
          <w:sz w:val="20"/>
          <w:szCs w:val="20"/>
          <w:lang w:val="en-GB"/>
        </w:rPr>
        <w:t>: Maintenance of the property and fixtures to ensure ongoing compliance with the Healthy Homes Guarantee Act is the responsibility of the landlord.</w:t>
      </w:r>
    </w:p>
    <w:p w14:paraId="6E79659A" w14:textId="77777777" w:rsidR="00DE0E8A" w:rsidRPr="002B5869" w:rsidRDefault="00DE0E8A" w:rsidP="00AA581A">
      <w:pPr>
        <w:rPr>
          <w:rFonts w:asciiTheme="majorHAnsi" w:eastAsia="Times New Roman" w:hAnsiTheme="majorHAnsi" w:cstheme="majorHAnsi"/>
          <w:lang w:val="en-GB"/>
        </w:rPr>
      </w:pPr>
    </w:p>
    <w:p w14:paraId="423BAD3F" w14:textId="77777777" w:rsidR="003B227F" w:rsidRPr="002B5869" w:rsidRDefault="00CA578C" w:rsidP="002B5869">
      <w:pPr>
        <w:spacing w:after="0"/>
        <w:jc w:val="center"/>
        <w:rPr>
          <w:rFonts w:asciiTheme="majorHAnsi" w:eastAsia="Times New Roman" w:hAnsiTheme="majorHAnsi" w:cstheme="majorHAnsi"/>
          <w:sz w:val="44"/>
          <w:szCs w:val="44"/>
          <w:lang w:val="en-GB"/>
        </w:rPr>
      </w:pPr>
      <w:r w:rsidRPr="002B5869">
        <w:rPr>
          <w:rFonts w:asciiTheme="majorHAnsi" w:eastAsia="Times New Roman" w:hAnsiTheme="majorHAnsi" w:cstheme="majorHAnsi"/>
          <w:sz w:val="44"/>
          <w:szCs w:val="44"/>
          <w:lang w:val="en-GB"/>
        </w:rPr>
        <w:lastRenderedPageBreak/>
        <w:t>Healthy Homes Standards</w:t>
      </w:r>
    </w:p>
    <w:p w14:paraId="06721DBC" w14:textId="77777777" w:rsidR="002B5869" w:rsidRDefault="002B5869" w:rsidP="002B5869">
      <w:pPr>
        <w:spacing w:after="0"/>
        <w:rPr>
          <w:rFonts w:asciiTheme="majorHAnsi" w:hAnsiTheme="majorHAnsi" w:cstheme="majorHAnsi"/>
          <w:sz w:val="20"/>
          <w:szCs w:val="20"/>
          <w:lang w:val="en-GB"/>
        </w:rPr>
      </w:pPr>
    </w:p>
    <w:p w14:paraId="62EB7296" w14:textId="77777777" w:rsidR="003B227F" w:rsidRPr="00DE0E8A" w:rsidRDefault="00CA578C" w:rsidP="002B5869">
      <w:pPr>
        <w:spacing w:after="0"/>
        <w:rPr>
          <w:rFonts w:asciiTheme="majorHAnsi" w:hAnsiTheme="majorHAnsi" w:cstheme="majorHAnsi"/>
          <w:sz w:val="20"/>
          <w:szCs w:val="20"/>
          <w:lang w:val="en-GB"/>
        </w:rPr>
      </w:pPr>
      <w:r w:rsidRPr="00DE0E8A">
        <w:rPr>
          <w:rFonts w:asciiTheme="majorHAnsi" w:hAnsiTheme="majorHAnsi" w:cstheme="majorHAnsi"/>
          <w:sz w:val="20"/>
          <w:szCs w:val="20"/>
          <w:lang w:val="en-GB"/>
        </w:rPr>
        <w:t>The HHS are the regulatory standards developed following the passing of the Healthy Homes Guarantee Act which came into force as of 1</w:t>
      </w:r>
      <w:r w:rsidRPr="00DE0E8A">
        <w:rPr>
          <w:rFonts w:asciiTheme="majorHAnsi" w:hAnsiTheme="majorHAnsi" w:cstheme="majorHAnsi"/>
          <w:sz w:val="20"/>
          <w:szCs w:val="20"/>
          <w:vertAlign w:val="superscript"/>
          <w:lang w:val="en-GB"/>
        </w:rPr>
        <w:t>st</w:t>
      </w:r>
      <w:r w:rsidRPr="00DE0E8A">
        <w:rPr>
          <w:rFonts w:asciiTheme="majorHAnsi" w:hAnsiTheme="majorHAnsi" w:cstheme="majorHAnsi"/>
          <w:sz w:val="20"/>
          <w:szCs w:val="20"/>
          <w:lang w:val="en-GB"/>
        </w:rPr>
        <w:t xml:space="preserve"> July 2019. The standards require compliance in five areas: </w:t>
      </w:r>
    </w:p>
    <w:p w14:paraId="7D97D4A8" w14:textId="77777777" w:rsidR="003B227F" w:rsidRPr="00DE0E8A" w:rsidRDefault="00CA578C" w:rsidP="002B5869">
      <w:pPr>
        <w:pStyle w:val="ListParagraph"/>
        <w:numPr>
          <w:ilvl w:val="0"/>
          <w:numId w:val="2"/>
        </w:numPr>
        <w:rPr>
          <w:rFonts w:asciiTheme="majorHAnsi" w:hAnsiTheme="majorHAnsi" w:cstheme="majorHAnsi"/>
          <w:sz w:val="20"/>
          <w:szCs w:val="20"/>
          <w:lang w:val="en-GB"/>
        </w:rPr>
      </w:pPr>
      <w:r w:rsidRPr="00DE0E8A">
        <w:rPr>
          <w:rFonts w:asciiTheme="majorHAnsi" w:hAnsiTheme="majorHAnsi" w:cstheme="majorHAnsi"/>
          <w:sz w:val="20"/>
          <w:szCs w:val="20"/>
          <w:lang w:val="en-GB"/>
        </w:rPr>
        <w:t>Heating</w:t>
      </w:r>
    </w:p>
    <w:p w14:paraId="44C62E03" w14:textId="77777777" w:rsidR="003B227F" w:rsidRPr="00DE0E8A" w:rsidRDefault="00CA578C" w:rsidP="002B5869">
      <w:pPr>
        <w:pStyle w:val="ListParagraph"/>
        <w:numPr>
          <w:ilvl w:val="0"/>
          <w:numId w:val="2"/>
        </w:numPr>
        <w:rPr>
          <w:rFonts w:asciiTheme="majorHAnsi" w:hAnsiTheme="majorHAnsi" w:cstheme="majorHAnsi"/>
          <w:sz w:val="20"/>
          <w:szCs w:val="20"/>
          <w:lang w:val="en-GB"/>
        </w:rPr>
      </w:pPr>
      <w:r w:rsidRPr="00DE0E8A">
        <w:rPr>
          <w:rFonts w:asciiTheme="majorHAnsi" w:hAnsiTheme="majorHAnsi" w:cstheme="majorHAnsi"/>
          <w:sz w:val="20"/>
          <w:szCs w:val="20"/>
          <w:lang w:val="en-GB"/>
        </w:rPr>
        <w:t>Insulation</w:t>
      </w:r>
    </w:p>
    <w:p w14:paraId="01E00209" w14:textId="77777777" w:rsidR="003B227F" w:rsidRPr="00DE0E8A" w:rsidRDefault="00CA578C" w:rsidP="002B5869">
      <w:pPr>
        <w:pStyle w:val="ListParagraph"/>
        <w:numPr>
          <w:ilvl w:val="0"/>
          <w:numId w:val="2"/>
        </w:numPr>
        <w:rPr>
          <w:rFonts w:asciiTheme="majorHAnsi" w:hAnsiTheme="majorHAnsi" w:cstheme="majorHAnsi"/>
          <w:sz w:val="20"/>
          <w:szCs w:val="20"/>
          <w:lang w:val="en-GB"/>
        </w:rPr>
      </w:pPr>
      <w:r w:rsidRPr="00DE0E8A">
        <w:rPr>
          <w:rFonts w:asciiTheme="majorHAnsi" w:hAnsiTheme="majorHAnsi" w:cstheme="majorHAnsi"/>
          <w:sz w:val="20"/>
          <w:szCs w:val="20"/>
          <w:lang w:val="en-GB"/>
        </w:rPr>
        <w:t xml:space="preserve">Ventilation </w:t>
      </w:r>
    </w:p>
    <w:p w14:paraId="09BAB7B0" w14:textId="77777777" w:rsidR="003B227F" w:rsidRPr="00DE0E8A" w:rsidRDefault="00CA578C" w:rsidP="002B5869">
      <w:pPr>
        <w:pStyle w:val="ListParagraph"/>
        <w:numPr>
          <w:ilvl w:val="0"/>
          <w:numId w:val="2"/>
        </w:numPr>
        <w:rPr>
          <w:rFonts w:asciiTheme="majorHAnsi" w:hAnsiTheme="majorHAnsi" w:cstheme="majorHAnsi"/>
          <w:sz w:val="20"/>
          <w:szCs w:val="20"/>
          <w:lang w:val="en-GB"/>
        </w:rPr>
      </w:pPr>
      <w:r w:rsidRPr="00DE0E8A">
        <w:rPr>
          <w:rFonts w:asciiTheme="majorHAnsi" w:hAnsiTheme="majorHAnsi" w:cstheme="majorHAnsi"/>
          <w:sz w:val="20"/>
          <w:szCs w:val="20"/>
          <w:lang w:val="en-GB"/>
        </w:rPr>
        <w:t>Draught stopping</w:t>
      </w:r>
    </w:p>
    <w:p w14:paraId="5B25990E" w14:textId="77777777" w:rsidR="003B227F" w:rsidRPr="00DE0E8A" w:rsidRDefault="00CA578C" w:rsidP="002B5869">
      <w:pPr>
        <w:pStyle w:val="ListParagraph"/>
        <w:numPr>
          <w:ilvl w:val="0"/>
          <w:numId w:val="2"/>
        </w:numPr>
        <w:rPr>
          <w:rFonts w:asciiTheme="majorHAnsi" w:hAnsiTheme="majorHAnsi" w:cstheme="majorHAnsi"/>
          <w:sz w:val="20"/>
          <w:szCs w:val="20"/>
          <w:lang w:val="en-GB"/>
        </w:rPr>
      </w:pPr>
      <w:r w:rsidRPr="00DE0E8A">
        <w:rPr>
          <w:rFonts w:asciiTheme="majorHAnsi" w:hAnsiTheme="majorHAnsi" w:cstheme="majorHAnsi"/>
          <w:sz w:val="20"/>
          <w:szCs w:val="20"/>
          <w:lang w:val="en-GB"/>
        </w:rPr>
        <w:t>Moisture ingress and drainage</w:t>
      </w:r>
    </w:p>
    <w:p w14:paraId="4C6D8ECF" w14:textId="77777777" w:rsidR="003B227F" w:rsidRPr="00DE0E8A" w:rsidRDefault="002C0FBF" w:rsidP="002B5869">
      <w:pPr>
        <w:spacing w:after="0"/>
        <w:rPr>
          <w:rFonts w:asciiTheme="majorHAnsi" w:hAnsiTheme="majorHAnsi" w:cstheme="majorHAnsi"/>
          <w:sz w:val="20"/>
          <w:szCs w:val="20"/>
        </w:rPr>
      </w:pPr>
    </w:p>
    <w:p w14:paraId="220C78DD" w14:textId="77777777" w:rsidR="003B227F" w:rsidRPr="00DE0E8A" w:rsidRDefault="00EC44BA" w:rsidP="002B5869">
      <w:pPr>
        <w:spacing w:after="0"/>
        <w:rPr>
          <w:rFonts w:asciiTheme="majorHAnsi" w:hAnsiTheme="majorHAnsi" w:cstheme="majorHAnsi"/>
          <w:sz w:val="20"/>
          <w:szCs w:val="20"/>
          <w:lang w:val="en-GB"/>
        </w:rPr>
      </w:pPr>
      <w:r w:rsidRPr="00DE0E8A">
        <w:rPr>
          <w:rFonts w:asciiTheme="majorHAnsi" w:hAnsiTheme="majorHAnsi" w:cstheme="majorHAnsi"/>
          <w:sz w:val="20"/>
          <w:szCs w:val="20"/>
          <w:lang w:val="en-GB"/>
        </w:rPr>
        <w:t>This certificate</w:t>
      </w:r>
      <w:r w:rsidR="00CA578C" w:rsidRPr="00DE0E8A">
        <w:rPr>
          <w:rFonts w:asciiTheme="majorHAnsi" w:hAnsiTheme="majorHAnsi" w:cstheme="majorHAnsi"/>
          <w:sz w:val="20"/>
          <w:szCs w:val="20"/>
          <w:lang w:val="en-GB"/>
        </w:rPr>
        <w:t xml:space="preserve"> provides landlords and tenants with information on the current status of the rental property against the HHS and enables property owners to demonstrate their compliance against the regulations. </w:t>
      </w:r>
    </w:p>
    <w:p w14:paraId="53856BB5" w14:textId="77777777" w:rsidR="002B5869" w:rsidRPr="00DE0E8A" w:rsidRDefault="00CA578C" w:rsidP="002B5869">
      <w:pPr>
        <w:spacing w:after="0"/>
        <w:rPr>
          <w:rFonts w:asciiTheme="majorHAnsi" w:hAnsiTheme="majorHAnsi" w:cstheme="majorHAnsi"/>
          <w:sz w:val="20"/>
          <w:szCs w:val="20"/>
          <w:lang w:val="en-GB"/>
        </w:rPr>
      </w:pPr>
      <w:r w:rsidRPr="00DE0E8A">
        <w:rPr>
          <w:rFonts w:asciiTheme="majorHAnsi" w:hAnsiTheme="majorHAnsi" w:cstheme="majorHAnsi"/>
          <w:sz w:val="20"/>
          <w:szCs w:val="20"/>
          <w:lang w:val="en-GB"/>
        </w:rPr>
        <w:t xml:space="preserve">When areas of non-compliance have been identified a description of the work required to bring the dwelling up to the standard is described. </w:t>
      </w:r>
      <w:r w:rsidR="00A82BA6" w:rsidRPr="00DE0E8A">
        <w:rPr>
          <w:rFonts w:asciiTheme="majorHAnsi" w:hAnsiTheme="majorHAnsi" w:cstheme="majorHAnsi"/>
          <w:sz w:val="20"/>
          <w:szCs w:val="20"/>
          <w:lang w:val="en-GB"/>
        </w:rPr>
        <w:t xml:space="preserve">You are </w:t>
      </w:r>
      <w:r w:rsidRPr="00DE0E8A">
        <w:rPr>
          <w:rFonts w:asciiTheme="majorHAnsi" w:hAnsiTheme="majorHAnsi" w:cstheme="majorHAnsi"/>
          <w:sz w:val="20"/>
          <w:szCs w:val="20"/>
          <w:lang w:val="en-GB"/>
        </w:rPr>
        <w:t>required to bring the property up to the</w:t>
      </w:r>
      <w:r w:rsidR="00A82BA6" w:rsidRPr="00DE0E8A">
        <w:rPr>
          <w:rFonts w:asciiTheme="majorHAnsi" w:hAnsiTheme="majorHAnsi" w:cstheme="majorHAnsi"/>
          <w:sz w:val="20"/>
          <w:szCs w:val="20"/>
          <w:lang w:val="en-GB"/>
        </w:rPr>
        <w:t xml:space="preserve"> HHS standards, w</w:t>
      </w:r>
      <w:r w:rsidR="002B5869" w:rsidRPr="00DE0E8A">
        <w:rPr>
          <w:rFonts w:asciiTheme="majorHAnsi" w:hAnsiTheme="majorHAnsi" w:cstheme="majorHAnsi"/>
          <w:sz w:val="20"/>
          <w:szCs w:val="20"/>
          <w:lang w:val="en-GB"/>
        </w:rPr>
        <w:t xml:space="preserve">hen this work has been </w:t>
      </w:r>
      <w:r w:rsidRPr="00DE0E8A">
        <w:rPr>
          <w:rFonts w:asciiTheme="majorHAnsi" w:hAnsiTheme="majorHAnsi" w:cstheme="majorHAnsi"/>
          <w:sz w:val="20"/>
          <w:szCs w:val="20"/>
          <w:lang w:val="en-GB"/>
        </w:rPr>
        <w:t xml:space="preserve">undertaken the HHS Compliance Certificate will be updated. </w:t>
      </w:r>
    </w:p>
    <w:p w14:paraId="4081EC26" w14:textId="77777777" w:rsidR="002B5869" w:rsidRDefault="002B5869" w:rsidP="002B5869">
      <w:pPr>
        <w:spacing w:after="0"/>
        <w:rPr>
          <w:rFonts w:asciiTheme="majorHAnsi" w:hAnsiTheme="majorHAnsi" w:cstheme="majorHAnsi"/>
          <w:sz w:val="20"/>
          <w:szCs w:val="20"/>
          <w:lang w:val="en-GB"/>
        </w:rPr>
      </w:pPr>
    </w:p>
    <w:p w14:paraId="534D4F23" w14:textId="77777777" w:rsidR="0070121F" w:rsidRPr="002B5869" w:rsidRDefault="0070121F" w:rsidP="002B5869">
      <w:pPr>
        <w:spacing w:after="0"/>
        <w:rPr>
          <w:rFonts w:asciiTheme="majorHAnsi" w:hAnsiTheme="majorHAnsi" w:cstheme="majorHAnsi"/>
          <w:sz w:val="20"/>
          <w:szCs w:val="20"/>
          <w:lang w:val="en-GB"/>
        </w:rPr>
      </w:pPr>
    </w:p>
    <w:p w14:paraId="57E1C9AE" w14:textId="77777777" w:rsidR="003B227F" w:rsidRPr="002B5869" w:rsidRDefault="00EC44BA" w:rsidP="002B5869">
      <w:pPr>
        <w:spacing w:after="0"/>
        <w:jc w:val="center"/>
        <w:rPr>
          <w:rFonts w:asciiTheme="majorHAnsi" w:hAnsiTheme="majorHAnsi" w:cstheme="majorHAnsi"/>
          <w:sz w:val="44"/>
          <w:szCs w:val="44"/>
          <w:lang w:val="en-GB"/>
        </w:rPr>
      </w:pPr>
      <w:r>
        <w:rPr>
          <w:rFonts w:asciiTheme="majorHAnsi" w:hAnsiTheme="majorHAnsi" w:cstheme="majorHAnsi"/>
          <w:sz w:val="44"/>
          <w:szCs w:val="44"/>
          <w:lang w:val="en-GB"/>
        </w:rPr>
        <w:t>Deadlines</w:t>
      </w:r>
    </w:p>
    <w:p w14:paraId="0C02FB7F" w14:textId="77777777" w:rsidR="00F047FD" w:rsidRPr="002B5869" w:rsidRDefault="002C0FBF" w:rsidP="002B5869">
      <w:pPr>
        <w:spacing w:after="0"/>
        <w:rPr>
          <w:rFonts w:asciiTheme="majorHAnsi" w:hAnsiTheme="majorHAnsi" w:cstheme="majorHAnsi"/>
        </w:rPr>
      </w:pPr>
    </w:p>
    <w:p w14:paraId="6976DE19" w14:textId="77777777" w:rsidR="00F047FD" w:rsidRPr="002B5869" w:rsidRDefault="00CA578C" w:rsidP="002B5869">
      <w:pPr>
        <w:pStyle w:val="ListParagraph"/>
        <w:numPr>
          <w:ilvl w:val="0"/>
          <w:numId w:val="3"/>
        </w:numPr>
        <w:rPr>
          <w:rFonts w:asciiTheme="majorHAnsi" w:hAnsiTheme="majorHAnsi" w:cstheme="majorHAnsi"/>
          <w:sz w:val="20"/>
          <w:szCs w:val="20"/>
          <w:lang w:val="en-GB"/>
        </w:rPr>
      </w:pPr>
      <w:r w:rsidRPr="002B5869">
        <w:rPr>
          <w:rFonts w:asciiTheme="majorHAnsi" w:hAnsiTheme="majorHAnsi" w:cstheme="majorHAnsi"/>
          <w:sz w:val="20"/>
          <w:szCs w:val="20"/>
          <w:lang w:val="en-GB"/>
        </w:rPr>
        <w:t>From 1</w:t>
      </w:r>
      <w:r w:rsidRPr="002B5869">
        <w:rPr>
          <w:rFonts w:asciiTheme="majorHAnsi" w:hAnsiTheme="majorHAnsi" w:cstheme="majorHAnsi"/>
          <w:sz w:val="20"/>
          <w:szCs w:val="20"/>
          <w:vertAlign w:val="superscript"/>
          <w:lang w:val="en-GB"/>
        </w:rPr>
        <w:t>st</w:t>
      </w:r>
      <w:r w:rsidRPr="002B5869">
        <w:rPr>
          <w:rFonts w:asciiTheme="majorHAnsi" w:hAnsiTheme="majorHAnsi" w:cstheme="majorHAnsi"/>
          <w:sz w:val="20"/>
          <w:szCs w:val="20"/>
          <w:lang w:val="en-GB"/>
        </w:rPr>
        <w:t xml:space="preserve"> July 2019 ceiling and under-floor insulation must be installed if it is practicable to do so. Landlords must keep records that demonstrate compliance to any of the Healthy Homes Standards that apply or will apply during the tenancy. </w:t>
      </w:r>
    </w:p>
    <w:p w14:paraId="1033504F" w14:textId="77777777" w:rsidR="00F047FD" w:rsidRPr="002B5869" w:rsidRDefault="00CA578C" w:rsidP="002B5869">
      <w:pPr>
        <w:pStyle w:val="ListParagraph"/>
        <w:numPr>
          <w:ilvl w:val="0"/>
          <w:numId w:val="3"/>
        </w:numPr>
        <w:rPr>
          <w:rFonts w:asciiTheme="majorHAnsi" w:hAnsiTheme="majorHAnsi" w:cstheme="majorHAnsi"/>
          <w:sz w:val="20"/>
          <w:szCs w:val="20"/>
          <w:lang w:val="en-GB"/>
        </w:rPr>
      </w:pPr>
      <w:r w:rsidRPr="002B5869">
        <w:rPr>
          <w:rFonts w:asciiTheme="majorHAnsi" w:hAnsiTheme="majorHAnsi" w:cstheme="majorHAnsi"/>
          <w:sz w:val="20"/>
          <w:szCs w:val="20"/>
          <w:lang w:val="en-GB"/>
        </w:rPr>
        <w:t>From 1</w:t>
      </w:r>
      <w:r w:rsidRPr="002B5869">
        <w:rPr>
          <w:rFonts w:asciiTheme="majorHAnsi" w:hAnsiTheme="majorHAnsi" w:cstheme="majorHAnsi"/>
          <w:sz w:val="20"/>
          <w:szCs w:val="20"/>
          <w:vertAlign w:val="superscript"/>
          <w:lang w:val="en-GB"/>
        </w:rPr>
        <w:t>st</w:t>
      </w:r>
      <w:r w:rsidR="00EC44BA">
        <w:rPr>
          <w:rFonts w:asciiTheme="majorHAnsi" w:hAnsiTheme="majorHAnsi" w:cstheme="majorHAnsi"/>
          <w:sz w:val="20"/>
          <w:szCs w:val="20"/>
          <w:lang w:val="en-GB"/>
        </w:rPr>
        <w:t xml:space="preserve"> December</w:t>
      </w:r>
      <w:r w:rsidRPr="002B5869">
        <w:rPr>
          <w:rFonts w:asciiTheme="majorHAnsi" w:hAnsiTheme="majorHAnsi" w:cstheme="majorHAnsi"/>
          <w:sz w:val="20"/>
          <w:szCs w:val="20"/>
          <w:lang w:val="en-GB"/>
        </w:rPr>
        <w:t xml:space="preserve"> 2020</w:t>
      </w:r>
      <w:r w:rsidR="00EC44BA">
        <w:rPr>
          <w:rFonts w:asciiTheme="majorHAnsi" w:hAnsiTheme="majorHAnsi" w:cstheme="majorHAnsi"/>
          <w:sz w:val="20"/>
          <w:szCs w:val="20"/>
          <w:lang w:val="en-GB"/>
        </w:rPr>
        <w:t xml:space="preserve"> (deadline extended in response to Covid-19) </w:t>
      </w:r>
      <w:r w:rsidRPr="002B5869">
        <w:rPr>
          <w:rFonts w:asciiTheme="majorHAnsi" w:hAnsiTheme="majorHAnsi" w:cstheme="majorHAnsi"/>
          <w:sz w:val="20"/>
          <w:szCs w:val="20"/>
          <w:lang w:val="en-GB"/>
        </w:rPr>
        <w:t xml:space="preserve">landlords must include a statement of their current compliance with the Healthy Homes Standards for any new or renewed tenancy agreement. </w:t>
      </w:r>
    </w:p>
    <w:p w14:paraId="1B9C9768" w14:textId="77777777" w:rsidR="00F047FD" w:rsidRPr="002B5869" w:rsidRDefault="00CA578C" w:rsidP="002B5869">
      <w:pPr>
        <w:pStyle w:val="ListParagraph"/>
        <w:numPr>
          <w:ilvl w:val="0"/>
          <w:numId w:val="3"/>
        </w:numPr>
        <w:rPr>
          <w:rFonts w:asciiTheme="majorHAnsi" w:hAnsiTheme="majorHAnsi" w:cstheme="majorHAnsi"/>
          <w:sz w:val="20"/>
          <w:szCs w:val="20"/>
          <w:lang w:val="en-GB"/>
        </w:rPr>
      </w:pPr>
      <w:r w:rsidRPr="002B5869">
        <w:rPr>
          <w:rFonts w:asciiTheme="majorHAnsi" w:hAnsiTheme="majorHAnsi" w:cstheme="majorHAnsi"/>
          <w:sz w:val="20"/>
          <w:szCs w:val="20"/>
          <w:lang w:val="en-GB"/>
        </w:rPr>
        <w:t>From 1</w:t>
      </w:r>
      <w:r w:rsidRPr="002B5869">
        <w:rPr>
          <w:rFonts w:asciiTheme="majorHAnsi" w:hAnsiTheme="majorHAnsi" w:cstheme="majorHAnsi"/>
          <w:sz w:val="20"/>
          <w:szCs w:val="20"/>
          <w:vertAlign w:val="superscript"/>
          <w:lang w:val="en-GB"/>
        </w:rPr>
        <w:t>st</w:t>
      </w:r>
      <w:r w:rsidRPr="002B5869">
        <w:rPr>
          <w:rFonts w:asciiTheme="majorHAnsi" w:hAnsiTheme="majorHAnsi" w:cstheme="majorHAnsi"/>
          <w:sz w:val="20"/>
          <w:szCs w:val="20"/>
          <w:lang w:val="en-GB"/>
        </w:rPr>
        <w:t xml:space="preserve"> July 2021 all private landlords must ensure that their rental properties comply with the Healthy Homes Standards within 90 days of a new or renewed tenancy. </w:t>
      </w:r>
    </w:p>
    <w:p w14:paraId="616926CE" w14:textId="06D64664" w:rsidR="00F047FD" w:rsidRPr="002B5869" w:rsidRDefault="00CA578C" w:rsidP="002B5869">
      <w:pPr>
        <w:pStyle w:val="ListParagraph"/>
        <w:numPr>
          <w:ilvl w:val="0"/>
          <w:numId w:val="3"/>
        </w:numPr>
        <w:rPr>
          <w:rFonts w:asciiTheme="majorHAnsi" w:hAnsiTheme="majorHAnsi" w:cstheme="majorHAnsi"/>
          <w:sz w:val="20"/>
          <w:szCs w:val="20"/>
          <w:lang w:val="en-GB"/>
        </w:rPr>
      </w:pPr>
      <w:r w:rsidRPr="002B5869">
        <w:rPr>
          <w:rFonts w:asciiTheme="majorHAnsi" w:hAnsiTheme="majorHAnsi" w:cstheme="majorHAnsi"/>
          <w:sz w:val="20"/>
          <w:szCs w:val="20"/>
          <w:lang w:val="en-GB"/>
        </w:rPr>
        <w:t>From 1</w:t>
      </w:r>
      <w:r w:rsidRPr="002B5869">
        <w:rPr>
          <w:rFonts w:asciiTheme="majorHAnsi" w:hAnsiTheme="majorHAnsi" w:cstheme="majorHAnsi"/>
          <w:sz w:val="20"/>
          <w:szCs w:val="20"/>
          <w:vertAlign w:val="superscript"/>
          <w:lang w:val="en-GB"/>
        </w:rPr>
        <w:t>st</w:t>
      </w:r>
      <w:r w:rsidRPr="002B5869">
        <w:rPr>
          <w:rFonts w:asciiTheme="majorHAnsi" w:hAnsiTheme="majorHAnsi" w:cstheme="majorHAnsi"/>
          <w:sz w:val="20"/>
          <w:szCs w:val="20"/>
          <w:lang w:val="en-GB"/>
        </w:rPr>
        <w:t xml:space="preserve"> July 2023 all houses rented out by Housing New Zealand and Community Housing Providers must comply with the healthy </w:t>
      </w:r>
      <w:r w:rsidR="00AD5E18" w:rsidRPr="002B5869">
        <w:rPr>
          <w:rFonts w:asciiTheme="majorHAnsi" w:hAnsiTheme="majorHAnsi" w:cstheme="majorHAnsi"/>
          <w:sz w:val="20"/>
          <w:szCs w:val="20"/>
          <w:lang w:val="en-GB"/>
        </w:rPr>
        <w:t>home’s</w:t>
      </w:r>
      <w:bookmarkStart w:id="0" w:name="_GoBack"/>
      <w:bookmarkEnd w:id="0"/>
      <w:r w:rsidRPr="002B5869">
        <w:rPr>
          <w:rFonts w:asciiTheme="majorHAnsi" w:hAnsiTheme="majorHAnsi" w:cstheme="majorHAnsi"/>
          <w:sz w:val="20"/>
          <w:szCs w:val="20"/>
          <w:lang w:val="en-GB"/>
        </w:rPr>
        <w:t xml:space="preserve"> standards.</w:t>
      </w:r>
    </w:p>
    <w:p w14:paraId="1A028541" w14:textId="77777777" w:rsidR="002B5869" w:rsidRDefault="00CA578C" w:rsidP="002B5869">
      <w:pPr>
        <w:pStyle w:val="ListParagraph"/>
        <w:numPr>
          <w:ilvl w:val="0"/>
          <w:numId w:val="3"/>
        </w:numPr>
        <w:rPr>
          <w:rFonts w:asciiTheme="majorHAnsi" w:hAnsiTheme="majorHAnsi" w:cstheme="majorHAnsi"/>
          <w:lang w:val="en-GB"/>
        </w:rPr>
      </w:pPr>
      <w:r w:rsidRPr="002B5869">
        <w:rPr>
          <w:rFonts w:asciiTheme="majorHAnsi" w:hAnsiTheme="majorHAnsi" w:cstheme="majorHAnsi"/>
          <w:sz w:val="20"/>
          <w:szCs w:val="20"/>
          <w:lang w:val="en-GB"/>
        </w:rPr>
        <w:t>From 1</w:t>
      </w:r>
      <w:r w:rsidRPr="002B5869">
        <w:rPr>
          <w:rFonts w:asciiTheme="majorHAnsi" w:hAnsiTheme="majorHAnsi" w:cstheme="majorHAnsi"/>
          <w:sz w:val="20"/>
          <w:szCs w:val="20"/>
          <w:vertAlign w:val="superscript"/>
          <w:lang w:val="en-GB"/>
        </w:rPr>
        <w:t>st</w:t>
      </w:r>
      <w:r w:rsidRPr="002B5869">
        <w:rPr>
          <w:rFonts w:asciiTheme="majorHAnsi" w:hAnsiTheme="majorHAnsi" w:cstheme="majorHAnsi"/>
          <w:sz w:val="20"/>
          <w:szCs w:val="20"/>
          <w:lang w:val="en-GB"/>
        </w:rPr>
        <w:t xml:space="preserve"> July 2024 all New Zealand rental homes must comply with the Healthy Homes Standards.</w:t>
      </w:r>
    </w:p>
    <w:p w14:paraId="6DBECEF9" w14:textId="77777777" w:rsidR="002B5869" w:rsidRPr="002B5869" w:rsidRDefault="002B5869" w:rsidP="002B5869">
      <w:pPr>
        <w:spacing w:after="0"/>
        <w:ind w:left="360"/>
        <w:rPr>
          <w:rFonts w:asciiTheme="majorHAnsi" w:hAnsiTheme="majorHAnsi" w:cstheme="majorHAnsi"/>
          <w:lang w:val="en-GB"/>
        </w:rPr>
      </w:pPr>
    </w:p>
    <w:p w14:paraId="4C1727C8" w14:textId="77777777" w:rsidR="002B5869" w:rsidRDefault="002B5869" w:rsidP="002B5869">
      <w:pPr>
        <w:spacing w:after="0"/>
        <w:rPr>
          <w:rFonts w:asciiTheme="majorHAnsi" w:hAnsiTheme="majorHAnsi" w:cstheme="majorHAnsi"/>
          <w:color w:val="7F7F7F" w:themeColor="text1" w:themeTint="80"/>
          <w:sz w:val="18"/>
          <w:szCs w:val="18"/>
        </w:rPr>
      </w:pPr>
    </w:p>
    <w:p w14:paraId="2F5E1147" w14:textId="77777777" w:rsidR="002B5869" w:rsidRDefault="002B5869" w:rsidP="002B5869">
      <w:pPr>
        <w:spacing w:after="0"/>
        <w:rPr>
          <w:rFonts w:asciiTheme="majorHAnsi" w:hAnsiTheme="majorHAnsi" w:cstheme="majorHAnsi"/>
          <w:color w:val="7F7F7F" w:themeColor="text1" w:themeTint="80"/>
          <w:sz w:val="18"/>
          <w:szCs w:val="18"/>
        </w:rPr>
      </w:pPr>
    </w:p>
    <w:p w14:paraId="46C9A0AB" w14:textId="77777777" w:rsidR="00DE0E8A" w:rsidRDefault="00DE0E8A" w:rsidP="002B5869">
      <w:pPr>
        <w:spacing w:after="0"/>
        <w:rPr>
          <w:rFonts w:asciiTheme="majorHAnsi" w:hAnsiTheme="majorHAnsi" w:cstheme="majorHAnsi"/>
          <w:color w:val="7F7F7F" w:themeColor="text1" w:themeTint="80"/>
          <w:sz w:val="18"/>
          <w:szCs w:val="18"/>
        </w:rPr>
      </w:pPr>
    </w:p>
    <w:p w14:paraId="40258BB9" w14:textId="77777777" w:rsidR="00DE0E8A" w:rsidRDefault="00DE0E8A" w:rsidP="002B5869">
      <w:pPr>
        <w:spacing w:after="0"/>
        <w:rPr>
          <w:rFonts w:asciiTheme="majorHAnsi" w:hAnsiTheme="majorHAnsi" w:cstheme="majorHAnsi"/>
          <w:color w:val="7F7F7F" w:themeColor="text1" w:themeTint="80"/>
          <w:sz w:val="18"/>
          <w:szCs w:val="18"/>
        </w:rPr>
      </w:pPr>
    </w:p>
    <w:p w14:paraId="7B6E1C9C" w14:textId="77777777" w:rsidR="00DE0E8A" w:rsidRDefault="00DE0E8A" w:rsidP="002B5869">
      <w:pPr>
        <w:spacing w:after="0"/>
        <w:rPr>
          <w:rFonts w:asciiTheme="majorHAnsi" w:hAnsiTheme="majorHAnsi" w:cstheme="majorHAnsi"/>
          <w:color w:val="7F7F7F" w:themeColor="text1" w:themeTint="80"/>
          <w:sz w:val="18"/>
          <w:szCs w:val="18"/>
        </w:rPr>
      </w:pPr>
    </w:p>
    <w:p w14:paraId="4A4C75CC" w14:textId="77777777" w:rsidR="00DE0E8A" w:rsidRPr="002B5869" w:rsidRDefault="00DE0E8A" w:rsidP="00DE0E8A">
      <w:pPr>
        <w:rPr>
          <w:rFonts w:asciiTheme="majorHAnsi" w:eastAsia="Times New Roman" w:hAnsiTheme="majorHAnsi" w:cstheme="majorHAnsi"/>
          <w:sz w:val="20"/>
          <w:szCs w:val="20"/>
          <w:lang w:val="en-GB"/>
        </w:rPr>
      </w:pPr>
      <w:r w:rsidRPr="002B5869">
        <w:rPr>
          <w:rFonts w:asciiTheme="majorHAnsi" w:eastAsia="Times New Roman" w:hAnsiTheme="majorHAnsi" w:cstheme="majorHAnsi"/>
          <w:b/>
          <w:sz w:val="20"/>
          <w:szCs w:val="20"/>
          <w:lang w:val="en-GB"/>
        </w:rPr>
        <w:t>Landlord Name:</w:t>
      </w:r>
      <w:r w:rsidRPr="002B5869">
        <w:rPr>
          <w:rFonts w:asciiTheme="majorHAnsi" w:eastAsia="Times New Roman" w:hAnsiTheme="majorHAnsi" w:cstheme="majorHAnsi"/>
          <w:sz w:val="20"/>
          <w:szCs w:val="20"/>
          <w:lang w:val="en-GB"/>
        </w:rPr>
        <w:t xml:space="preserve"> ____________________________________________</w:t>
      </w:r>
    </w:p>
    <w:p w14:paraId="724FE6F4" w14:textId="77777777" w:rsidR="00DE0E8A" w:rsidRDefault="00DE0E8A" w:rsidP="00DE0E8A">
      <w:pPr>
        <w:rPr>
          <w:rFonts w:asciiTheme="majorHAnsi" w:eastAsia="Times New Roman" w:hAnsiTheme="majorHAnsi" w:cstheme="majorHAnsi"/>
          <w:b/>
          <w:sz w:val="20"/>
          <w:szCs w:val="20"/>
          <w:lang w:val="en-GB"/>
        </w:rPr>
      </w:pPr>
    </w:p>
    <w:p w14:paraId="7E5C024B" w14:textId="77777777" w:rsidR="00DE0E8A" w:rsidRPr="002B5869" w:rsidRDefault="00DE0E8A" w:rsidP="00DE0E8A">
      <w:pPr>
        <w:spacing w:after="0"/>
        <w:rPr>
          <w:rFonts w:asciiTheme="majorHAnsi" w:hAnsiTheme="majorHAnsi" w:cstheme="majorHAnsi"/>
        </w:rPr>
      </w:pPr>
      <w:r w:rsidRPr="002B5869">
        <w:rPr>
          <w:rFonts w:asciiTheme="majorHAnsi" w:eastAsia="Times New Roman" w:hAnsiTheme="majorHAnsi" w:cstheme="majorHAnsi"/>
          <w:b/>
          <w:sz w:val="20"/>
          <w:szCs w:val="20"/>
          <w:lang w:val="en-GB"/>
        </w:rPr>
        <w:t>Signed:</w:t>
      </w:r>
      <w:r w:rsidRPr="002B5869">
        <w:rPr>
          <w:rFonts w:asciiTheme="majorHAnsi" w:eastAsia="Times New Roman" w:hAnsiTheme="majorHAnsi" w:cstheme="majorHAnsi"/>
          <w:sz w:val="20"/>
          <w:szCs w:val="20"/>
          <w:lang w:val="en-GB"/>
        </w:rPr>
        <w:t xml:space="preserve"> _____________________________   </w:t>
      </w:r>
      <w:r w:rsidRPr="002B5869">
        <w:rPr>
          <w:rFonts w:asciiTheme="majorHAnsi" w:eastAsia="Times New Roman" w:hAnsiTheme="majorHAnsi" w:cstheme="majorHAnsi"/>
          <w:b/>
          <w:sz w:val="20"/>
          <w:szCs w:val="20"/>
          <w:lang w:val="en-GB"/>
        </w:rPr>
        <w:t>Date:</w:t>
      </w:r>
      <w:r w:rsidRPr="002B5869">
        <w:rPr>
          <w:rFonts w:asciiTheme="majorHAnsi" w:eastAsia="Times New Roman" w:hAnsiTheme="majorHAnsi" w:cstheme="majorHAnsi"/>
          <w:sz w:val="20"/>
          <w:szCs w:val="20"/>
          <w:lang w:val="en-GB"/>
        </w:rPr>
        <w:t xml:space="preserve"> _________________</w:t>
      </w:r>
    </w:p>
    <w:sectPr w:rsidR="00DE0E8A" w:rsidRPr="002B5869" w:rsidSect="00EC44BA">
      <w:pgSz w:w="11906" w:h="16838"/>
      <w:pgMar w:top="1440" w:right="1440" w:bottom="1440" w:left="1440" w:header="708" w:footer="708" w:gutter="0"/>
      <w:pgBorders w:offsetFrom="page">
        <w:top w:val="single" w:sz="12" w:space="24" w:color="595959" w:themeColor="text1" w:themeTint="A6"/>
        <w:left w:val="single" w:sz="12" w:space="24" w:color="595959" w:themeColor="text1" w:themeTint="A6"/>
        <w:bottom w:val="single" w:sz="12" w:space="24" w:color="595959" w:themeColor="text1" w:themeTint="A6"/>
        <w:right w:val="single" w:sz="12"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DB37" w14:textId="77777777" w:rsidR="002C0FBF" w:rsidRDefault="002C0FBF">
      <w:pPr>
        <w:spacing w:after="0" w:line="240" w:lineRule="auto"/>
      </w:pPr>
      <w:r>
        <w:separator/>
      </w:r>
    </w:p>
  </w:endnote>
  <w:endnote w:type="continuationSeparator" w:id="0">
    <w:p w14:paraId="276AF056" w14:textId="77777777" w:rsidR="002C0FBF" w:rsidRDefault="002C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749D" w14:textId="77777777" w:rsidR="002C0FBF" w:rsidRDefault="002C0FBF">
      <w:pPr>
        <w:spacing w:after="0" w:line="240" w:lineRule="auto"/>
      </w:pPr>
      <w:r>
        <w:separator/>
      </w:r>
    </w:p>
  </w:footnote>
  <w:footnote w:type="continuationSeparator" w:id="0">
    <w:p w14:paraId="689E910A" w14:textId="77777777" w:rsidR="002C0FBF" w:rsidRDefault="002C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5C45"/>
    <w:multiLevelType w:val="hybridMultilevel"/>
    <w:tmpl w:val="3ED00522"/>
    <w:lvl w:ilvl="0" w:tplc="5EA2DA90">
      <w:start w:val="1"/>
      <w:numFmt w:val="bullet"/>
      <w:lvlText w:val=""/>
      <w:lvlJc w:val="left"/>
      <w:pPr>
        <w:ind w:left="720" w:hanging="360"/>
      </w:pPr>
      <w:rPr>
        <w:rFonts w:ascii="Symbol" w:hAnsi="Symbol" w:hint="default"/>
      </w:rPr>
    </w:lvl>
    <w:lvl w:ilvl="1" w:tplc="637881AC" w:tentative="1">
      <w:start w:val="1"/>
      <w:numFmt w:val="bullet"/>
      <w:lvlText w:val="o"/>
      <w:lvlJc w:val="left"/>
      <w:pPr>
        <w:ind w:left="1440" w:hanging="360"/>
      </w:pPr>
      <w:rPr>
        <w:rFonts w:ascii="Courier New" w:hAnsi="Courier New" w:cs="Courier New" w:hint="default"/>
      </w:rPr>
    </w:lvl>
    <w:lvl w:ilvl="2" w:tplc="307A0540" w:tentative="1">
      <w:start w:val="1"/>
      <w:numFmt w:val="bullet"/>
      <w:lvlText w:val=""/>
      <w:lvlJc w:val="left"/>
      <w:pPr>
        <w:ind w:left="2160" w:hanging="360"/>
      </w:pPr>
      <w:rPr>
        <w:rFonts w:ascii="Wingdings" w:hAnsi="Wingdings" w:hint="default"/>
      </w:rPr>
    </w:lvl>
    <w:lvl w:ilvl="3" w:tplc="AE06D100" w:tentative="1">
      <w:start w:val="1"/>
      <w:numFmt w:val="bullet"/>
      <w:lvlText w:val=""/>
      <w:lvlJc w:val="left"/>
      <w:pPr>
        <w:ind w:left="2880" w:hanging="360"/>
      </w:pPr>
      <w:rPr>
        <w:rFonts w:ascii="Symbol" w:hAnsi="Symbol" w:hint="default"/>
      </w:rPr>
    </w:lvl>
    <w:lvl w:ilvl="4" w:tplc="AC76D1A2" w:tentative="1">
      <w:start w:val="1"/>
      <w:numFmt w:val="bullet"/>
      <w:lvlText w:val="o"/>
      <w:lvlJc w:val="left"/>
      <w:pPr>
        <w:ind w:left="3600" w:hanging="360"/>
      </w:pPr>
      <w:rPr>
        <w:rFonts w:ascii="Courier New" w:hAnsi="Courier New" w:cs="Courier New" w:hint="default"/>
      </w:rPr>
    </w:lvl>
    <w:lvl w:ilvl="5" w:tplc="D3B8BEF8" w:tentative="1">
      <w:start w:val="1"/>
      <w:numFmt w:val="bullet"/>
      <w:lvlText w:val=""/>
      <w:lvlJc w:val="left"/>
      <w:pPr>
        <w:ind w:left="4320" w:hanging="360"/>
      </w:pPr>
      <w:rPr>
        <w:rFonts w:ascii="Wingdings" w:hAnsi="Wingdings" w:hint="default"/>
      </w:rPr>
    </w:lvl>
    <w:lvl w:ilvl="6" w:tplc="A46071BE" w:tentative="1">
      <w:start w:val="1"/>
      <w:numFmt w:val="bullet"/>
      <w:lvlText w:val=""/>
      <w:lvlJc w:val="left"/>
      <w:pPr>
        <w:ind w:left="5040" w:hanging="360"/>
      </w:pPr>
      <w:rPr>
        <w:rFonts w:ascii="Symbol" w:hAnsi="Symbol" w:hint="default"/>
      </w:rPr>
    </w:lvl>
    <w:lvl w:ilvl="7" w:tplc="11FC412A" w:tentative="1">
      <w:start w:val="1"/>
      <w:numFmt w:val="bullet"/>
      <w:lvlText w:val="o"/>
      <w:lvlJc w:val="left"/>
      <w:pPr>
        <w:ind w:left="5760" w:hanging="360"/>
      </w:pPr>
      <w:rPr>
        <w:rFonts w:ascii="Courier New" w:hAnsi="Courier New" w:cs="Courier New" w:hint="default"/>
      </w:rPr>
    </w:lvl>
    <w:lvl w:ilvl="8" w:tplc="3782DDBA" w:tentative="1">
      <w:start w:val="1"/>
      <w:numFmt w:val="bullet"/>
      <w:lvlText w:val=""/>
      <w:lvlJc w:val="left"/>
      <w:pPr>
        <w:ind w:left="6480" w:hanging="360"/>
      </w:pPr>
      <w:rPr>
        <w:rFonts w:ascii="Wingdings" w:hAnsi="Wingdings" w:hint="default"/>
      </w:rPr>
    </w:lvl>
  </w:abstractNum>
  <w:abstractNum w:abstractNumId="1" w15:restartNumberingAfterBreak="0">
    <w:nsid w:val="35BD3FD9"/>
    <w:multiLevelType w:val="hybridMultilevel"/>
    <w:tmpl w:val="6A0CE774"/>
    <w:lvl w:ilvl="0" w:tplc="86EEC16A">
      <w:start w:val="1"/>
      <w:numFmt w:val="bullet"/>
      <w:lvlText w:val=""/>
      <w:lvlJc w:val="left"/>
      <w:pPr>
        <w:ind w:left="720" w:hanging="360"/>
      </w:pPr>
      <w:rPr>
        <w:rFonts w:ascii="Symbol" w:hAnsi="Symbol" w:hint="default"/>
      </w:rPr>
    </w:lvl>
    <w:lvl w:ilvl="1" w:tplc="847E5F18" w:tentative="1">
      <w:start w:val="1"/>
      <w:numFmt w:val="bullet"/>
      <w:lvlText w:val="o"/>
      <w:lvlJc w:val="left"/>
      <w:pPr>
        <w:ind w:left="1440" w:hanging="360"/>
      </w:pPr>
      <w:rPr>
        <w:rFonts w:ascii="Courier New" w:hAnsi="Courier New" w:cs="Courier New" w:hint="default"/>
      </w:rPr>
    </w:lvl>
    <w:lvl w:ilvl="2" w:tplc="8AAA4762" w:tentative="1">
      <w:start w:val="1"/>
      <w:numFmt w:val="bullet"/>
      <w:lvlText w:val=""/>
      <w:lvlJc w:val="left"/>
      <w:pPr>
        <w:ind w:left="2160" w:hanging="360"/>
      </w:pPr>
      <w:rPr>
        <w:rFonts w:ascii="Wingdings" w:hAnsi="Wingdings" w:hint="default"/>
      </w:rPr>
    </w:lvl>
    <w:lvl w:ilvl="3" w:tplc="EA66EDE2" w:tentative="1">
      <w:start w:val="1"/>
      <w:numFmt w:val="bullet"/>
      <w:lvlText w:val=""/>
      <w:lvlJc w:val="left"/>
      <w:pPr>
        <w:ind w:left="2880" w:hanging="360"/>
      </w:pPr>
      <w:rPr>
        <w:rFonts w:ascii="Symbol" w:hAnsi="Symbol" w:hint="default"/>
      </w:rPr>
    </w:lvl>
    <w:lvl w:ilvl="4" w:tplc="A560E88E" w:tentative="1">
      <w:start w:val="1"/>
      <w:numFmt w:val="bullet"/>
      <w:lvlText w:val="o"/>
      <w:lvlJc w:val="left"/>
      <w:pPr>
        <w:ind w:left="3600" w:hanging="360"/>
      </w:pPr>
      <w:rPr>
        <w:rFonts w:ascii="Courier New" w:hAnsi="Courier New" w:cs="Courier New" w:hint="default"/>
      </w:rPr>
    </w:lvl>
    <w:lvl w:ilvl="5" w:tplc="4A10B658" w:tentative="1">
      <w:start w:val="1"/>
      <w:numFmt w:val="bullet"/>
      <w:lvlText w:val=""/>
      <w:lvlJc w:val="left"/>
      <w:pPr>
        <w:ind w:left="4320" w:hanging="360"/>
      </w:pPr>
      <w:rPr>
        <w:rFonts w:ascii="Wingdings" w:hAnsi="Wingdings" w:hint="default"/>
      </w:rPr>
    </w:lvl>
    <w:lvl w:ilvl="6" w:tplc="06D2F3F6" w:tentative="1">
      <w:start w:val="1"/>
      <w:numFmt w:val="bullet"/>
      <w:lvlText w:val=""/>
      <w:lvlJc w:val="left"/>
      <w:pPr>
        <w:ind w:left="5040" w:hanging="360"/>
      </w:pPr>
      <w:rPr>
        <w:rFonts w:ascii="Symbol" w:hAnsi="Symbol" w:hint="default"/>
      </w:rPr>
    </w:lvl>
    <w:lvl w:ilvl="7" w:tplc="F00ED8EE" w:tentative="1">
      <w:start w:val="1"/>
      <w:numFmt w:val="bullet"/>
      <w:lvlText w:val="o"/>
      <w:lvlJc w:val="left"/>
      <w:pPr>
        <w:ind w:left="5760" w:hanging="360"/>
      </w:pPr>
      <w:rPr>
        <w:rFonts w:ascii="Courier New" w:hAnsi="Courier New" w:cs="Courier New" w:hint="default"/>
      </w:rPr>
    </w:lvl>
    <w:lvl w:ilvl="8" w:tplc="E5765DB8" w:tentative="1">
      <w:start w:val="1"/>
      <w:numFmt w:val="bullet"/>
      <w:lvlText w:val=""/>
      <w:lvlJc w:val="left"/>
      <w:pPr>
        <w:ind w:left="6480" w:hanging="360"/>
      </w:pPr>
      <w:rPr>
        <w:rFonts w:ascii="Wingdings" w:hAnsi="Wingdings" w:hint="default"/>
      </w:rPr>
    </w:lvl>
  </w:abstractNum>
  <w:abstractNum w:abstractNumId="2" w15:restartNumberingAfterBreak="0">
    <w:nsid w:val="3E9F1A21"/>
    <w:multiLevelType w:val="hybridMultilevel"/>
    <w:tmpl w:val="434E82B6"/>
    <w:lvl w:ilvl="0" w:tplc="2070D8CA">
      <w:numFmt w:val="bullet"/>
      <w:lvlText w:val="-"/>
      <w:lvlJc w:val="left"/>
      <w:pPr>
        <w:ind w:left="720" w:hanging="360"/>
      </w:pPr>
      <w:rPr>
        <w:rFonts w:ascii="Calibri Light" w:eastAsiaTheme="minorHAnsi" w:hAnsi="Calibri Light" w:cstheme="majorHAnsi" w:hint="default"/>
        <w:b/>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A762EA"/>
    <w:multiLevelType w:val="hybridMultilevel"/>
    <w:tmpl w:val="CC406FA0"/>
    <w:lvl w:ilvl="0" w:tplc="A3D4AFCC">
      <w:start w:val="1"/>
      <w:numFmt w:val="bullet"/>
      <w:lvlText w:val=""/>
      <w:lvlJc w:val="left"/>
      <w:pPr>
        <w:ind w:left="720" w:hanging="360"/>
      </w:pPr>
      <w:rPr>
        <w:rFonts w:ascii="Symbol" w:hAnsi="Symbol" w:hint="default"/>
      </w:rPr>
    </w:lvl>
    <w:lvl w:ilvl="1" w:tplc="D180C3EA" w:tentative="1">
      <w:start w:val="1"/>
      <w:numFmt w:val="bullet"/>
      <w:lvlText w:val="o"/>
      <w:lvlJc w:val="left"/>
      <w:pPr>
        <w:ind w:left="1440" w:hanging="360"/>
      </w:pPr>
      <w:rPr>
        <w:rFonts w:ascii="Courier New" w:hAnsi="Courier New" w:cs="Courier New" w:hint="default"/>
      </w:rPr>
    </w:lvl>
    <w:lvl w:ilvl="2" w:tplc="90E4E232" w:tentative="1">
      <w:start w:val="1"/>
      <w:numFmt w:val="bullet"/>
      <w:lvlText w:val=""/>
      <w:lvlJc w:val="left"/>
      <w:pPr>
        <w:ind w:left="2160" w:hanging="360"/>
      </w:pPr>
      <w:rPr>
        <w:rFonts w:ascii="Wingdings" w:hAnsi="Wingdings" w:hint="default"/>
      </w:rPr>
    </w:lvl>
    <w:lvl w:ilvl="3" w:tplc="4F40B6CC" w:tentative="1">
      <w:start w:val="1"/>
      <w:numFmt w:val="bullet"/>
      <w:lvlText w:val=""/>
      <w:lvlJc w:val="left"/>
      <w:pPr>
        <w:ind w:left="2880" w:hanging="360"/>
      </w:pPr>
      <w:rPr>
        <w:rFonts w:ascii="Symbol" w:hAnsi="Symbol" w:hint="default"/>
      </w:rPr>
    </w:lvl>
    <w:lvl w:ilvl="4" w:tplc="55E21312" w:tentative="1">
      <w:start w:val="1"/>
      <w:numFmt w:val="bullet"/>
      <w:lvlText w:val="o"/>
      <w:lvlJc w:val="left"/>
      <w:pPr>
        <w:ind w:left="3600" w:hanging="360"/>
      </w:pPr>
      <w:rPr>
        <w:rFonts w:ascii="Courier New" w:hAnsi="Courier New" w:cs="Courier New" w:hint="default"/>
      </w:rPr>
    </w:lvl>
    <w:lvl w:ilvl="5" w:tplc="17AA5888" w:tentative="1">
      <w:start w:val="1"/>
      <w:numFmt w:val="bullet"/>
      <w:lvlText w:val=""/>
      <w:lvlJc w:val="left"/>
      <w:pPr>
        <w:ind w:left="4320" w:hanging="360"/>
      </w:pPr>
      <w:rPr>
        <w:rFonts w:ascii="Wingdings" w:hAnsi="Wingdings" w:hint="default"/>
      </w:rPr>
    </w:lvl>
    <w:lvl w:ilvl="6" w:tplc="DF44C7A2" w:tentative="1">
      <w:start w:val="1"/>
      <w:numFmt w:val="bullet"/>
      <w:lvlText w:val=""/>
      <w:lvlJc w:val="left"/>
      <w:pPr>
        <w:ind w:left="5040" w:hanging="360"/>
      </w:pPr>
      <w:rPr>
        <w:rFonts w:ascii="Symbol" w:hAnsi="Symbol" w:hint="default"/>
      </w:rPr>
    </w:lvl>
    <w:lvl w:ilvl="7" w:tplc="49ACA746" w:tentative="1">
      <w:start w:val="1"/>
      <w:numFmt w:val="bullet"/>
      <w:lvlText w:val="o"/>
      <w:lvlJc w:val="left"/>
      <w:pPr>
        <w:ind w:left="5760" w:hanging="360"/>
      </w:pPr>
      <w:rPr>
        <w:rFonts w:ascii="Courier New" w:hAnsi="Courier New" w:cs="Courier New" w:hint="default"/>
      </w:rPr>
    </w:lvl>
    <w:lvl w:ilvl="8" w:tplc="9EE0810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AC"/>
    <w:rsid w:val="002B5869"/>
    <w:rsid w:val="002C0FBF"/>
    <w:rsid w:val="003C4181"/>
    <w:rsid w:val="004064AC"/>
    <w:rsid w:val="005A5DA7"/>
    <w:rsid w:val="006D2EDA"/>
    <w:rsid w:val="0070121F"/>
    <w:rsid w:val="0081791B"/>
    <w:rsid w:val="009841AC"/>
    <w:rsid w:val="009E04A8"/>
    <w:rsid w:val="009F5DDA"/>
    <w:rsid w:val="00A61199"/>
    <w:rsid w:val="00A82BA6"/>
    <w:rsid w:val="00AD5E18"/>
    <w:rsid w:val="00B862AD"/>
    <w:rsid w:val="00BA7E6A"/>
    <w:rsid w:val="00C13441"/>
    <w:rsid w:val="00CA578C"/>
    <w:rsid w:val="00CB47E6"/>
    <w:rsid w:val="00DE0E8A"/>
    <w:rsid w:val="00EC4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A996"/>
  <w15:docId w15:val="{713B4F31-3B70-42CE-9D96-8507B396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74D"/>
  </w:style>
  <w:style w:type="paragraph" w:styleId="Footer">
    <w:name w:val="footer"/>
    <w:basedOn w:val="Normal"/>
    <w:link w:val="FooterChar"/>
    <w:uiPriority w:val="99"/>
    <w:unhideWhenUsed/>
    <w:rsid w:val="00603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74D"/>
  </w:style>
  <w:style w:type="paragraph" w:styleId="ListParagraph">
    <w:name w:val="List Paragraph"/>
    <w:basedOn w:val="Normal"/>
    <w:uiPriority w:val="34"/>
    <w:qFormat/>
    <w:rsid w:val="003B227F"/>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3B2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8F"/>
    <w:rPr>
      <w:rFonts w:ascii="Segoe UI" w:hAnsi="Segoe UI" w:cs="Segoe UI"/>
      <w:sz w:val="18"/>
      <w:szCs w:val="18"/>
    </w:rPr>
  </w:style>
  <w:style w:type="character" w:customStyle="1" w:styleId="normaltextrun">
    <w:name w:val="normaltextrun"/>
    <w:basedOn w:val="DefaultParagraphFont"/>
    <w:rsid w:val="00EC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43A6-33D1-4E3D-8469-4F0671A2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Ripley</dc:creator>
  <cp:lastModifiedBy>Greg Claridge</cp:lastModifiedBy>
  <cp:revision>3</cp:revision>
  <cp:lastPrinted>2020-03-03T02:48:00Z</cp:lastPrinted>
  <dcterms:created xsi:type="dcterms:W3CDTF">2020-06-30T07:46:00Z</dcterms:created>
  <dcterms:modified xsi:type="dcterms:W3CDTF">2020-08-30T21:41:00Z</dcterms:modified>
</cp:coreProperties>
</file>